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5FE6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869F81">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C03932C">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11.100</w:t>
            </w:r>
            <w:r>
              <w:rPr>
                <w:rFonts w:ascii="黑体" w:hAnsi="黑体" w:eastAsia="黑体"/>
                <w:sz w:val="21"/>
                <w:szCs w:val="21"/>
              </w:rPr>
              <w:fldChar w:fldCharType="end"/>
            </w:r>
            <w:bookmarkEnd w:id="0"/>
          </w:p>
        </w:tc>
      </w:tr>
      <w:tr w14:paraId="5D61C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A93228A">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25C02C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A1DD443">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59CE784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30</w:t>
            </w:r>
            <w:r>
              <w:rPr>
                <w:rFonts w:ascii="黑体" w:hAnsi="黑体" w:eastAsia="黑体"/>
                <w:sz w:val="21"/>
                <w:szCs w:val="21"/>
              </w:rPr>
              <w:fldChar w:fldCharType="end"/>
            </w:r>
            <w:bookmarkEnd w:id="2"/>
          </w:p>
        </w:tc>
      </w:tr>
    </w:tbl>
    <w:p w14:paraId="617164EF">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F5AA8D0">
      <w:pPr>
        <w:pStyle w:val="198"/>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D556FD5">
      <w:pPr>
        <w:pStyle w:val="199"/>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3605385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29B060">
      <w:pPr>
        <w:pStyle w:val="53"/>
        <w:framePr w:w="9639" w:h="6976" w:hRule="exact" w:hSpace="0" w:vSpace="0" w:wrap="around" w:hAnchor="page" w:y="6408"/>
        <w:jc w:val="center"/>
        <w:rPr>
          <w:rFonts w:ascii="黑体" w:hAnsi="黑体" w:eastAsia="黑体"/>
          <w:b w:val="0"/>
          <w:bCs w:val="0"/>
          <w:w w:val="100"/>
        </w:rPr>
      </w:pPr>
    </w:p>
    <w:p w14:paraId="427BE54D">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肺炎支原体抗体检测  吖啶酯化学发光法</w:t>
      </w:r>
      <w:r>
        <w:fldChar w:fldCharType="end"/>
      </w:r>
      <w:bookmarkEnd w:id="8"/>
    </w:p>
    <w:p w14:paraId="39930EED">
      <w:pPr>
        <w:framePr w:w="9639" w:h="6974" w:hRule="exact" w:wrap="around" w:vAnchor="page" w:hAnchor="page" w:x="1419" w:y="6408" w:anchorLock="1"/>
        <w:ind w:left="-1418"/>
      </w:pPr>
    </w:p>
    <w:p w14:paraId="1AA26688">
      <w:pPr>
        <w:pStyle w:val="128"/>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Detection of mycoplasma pneumoniae antibodies by acridinium ester chemiluminescent assay</w:t>
      </w:r>
      <w:r>
        <w:rPr>
          <w:rFonts w:ascii="黑体" w:hAnsi="黑体" w:eastAsia="黑体"/>
          <w:szCs w:val="28"/>
        </w:rPr>
        <w:fldChar w:fldCharType="end"/>
      </w:r>
      <w:bookmarkEnd w:id="9"/>
    </w:p>
    <w:p w14:paraId="0EA73209">
      <w:pPr>
        <w:framePr w:w="9639" w:h="6974" w:hRule="exact" w:wrap="around" w:vAnchor="page" w:hAnchor="page" w:x="1419" w:y="6408" w:anchorLock="1"/>
        <w:spacing w:line="760" w:lineRule="exact"/>
        <w:ind w:left="-1418"/>
      </w:pPr>
    </w:p>
    <w:p w14:paraId="2BBC9279">
      <w:pPr>
        <w:pStyle w:val="128"/>
        <w:framePr w:w="9639" w:h="6974" w:hRule="exact" w:wrap="around" w:vAnchor="page" w:hAnchor="page" w:x="1419" w:y="6408" w:anchorLock="1"/>
        <w:textAlignment w:val="bottom"/>
        <w:rPr>
          <w:rFonts w:eastAsia="黑体"/>
          <w:szCs w:val="28"/>
        </w:rPr>
      </w:pPr>
    </w:p>
    <w:p w14:paraId="72AFF741">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22ED52E7">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398AE792">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62CA7772">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3CF2BDC8">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F452C78">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w:t>
      </w:r>
      <w:r>
        <w:rPr>
          <w:rFonts w:hAnsi="黑体"/>
          <w:w w:val="100"/>
          <w:sz w:val="28"/>
        </w:rPr>
        <w:t>标准</w:t>
      </w:r>
      <w:r>
        <w:rPr>
          <w:rFonts w:hint="eastAsia" w:hAnsi="黑体"/>
          <w:w w:val="100"/>
          <w:sz w:val="28"/>
        </w:rPr>
        <w:t>化</w:t>
      </w:r>
      <w:r>
        <w:rPr>
          <w:rFonts w:hAnsi="黑体"/>
          <w:w w:val="100"/>
          <w:sz w:val="28"/>
        </w:rPr>
        <w:t>协会</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E8F016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4BCC3F">
      <w:pPr>
        <w:pStyle w:val="92"/>
        <w:spacing w:before="900" w:after="360"/>
      </w:pPr>
      <w:bookmarkStart w:id="20" w:name="BookMark2"/>
      <w:r>
        <w:rPr>
          <w:spacing w:val="320"/>
        </w:rPr>
        <w:t>前</w:t>
      </w:r>
      <w:r>
        <w:t>言</w:t>
      </w:r>
    </w:p>
    <w:p w14:paraId="6B26BA28">
      <w:pPr>
        <w:pStyle w:val="59"/>
        <w:ind w:firstLine="420"/>
      </w:pPr>
      <w:r>
        <w:rPr>
          <w:rFonts w:hint="eastAsia"/>
        </w:rPr>
        <w:t>本文件参照GB/T 1.1—2020《标准化工作导则  第1部分：标准化文件的结构和起草规则》的规定起草。</w:t>
      </w:r>
    </w:p>
    <w:p w14:paraId="5C289EFD">
      <w:pPr>
        <w:pStyle w:val="59"/>
        <w:ind w:firstLine="420"/>
      </w:pPr>
      <w:r>
        <w:rPr>
          <w:rFonts w:hint="eastAsia"/>
        </w:rPr>
        <w:t>请注意本文件的某些内容可能涉及专利。本文件的发布机构不承担识别专利的责任。</w:t>
      </w:r>
    </w:p>
    <w:p w14:paraId="4B20640A">
      <w:pPr>
        <w:pStyle w:val="59"/>
        <w:ind w:firstLine="420"/>
      </w:pPr>
      <w:r>
        <w:rPr>
          <w:rFonts w:hint="eastAsia"/>
        </w:rPr>
        <w:t>本文件由广西预防医学会提出、归口并宣贯。</w:t>
      </w:r>
    </w:p>
    <w:p w14:paraId="4973C5BF">
      <w:pPr>
        <w:pStyle w:val="59"/>
        <w:ind w:firstLine="420"/>
      </w:pPr>
      <w:r>
        <w:rPr>
          <w:rFonts w:hint="eastAsia"/>
        </w:rPr>
        <w:t>本文件起草单位：南宁市第四人民医院、东莞市人民医院、玉林市第一人民医院、玉林市第二人民医院、广西中医药大学第一附属医院、广西国际壮医医院、柳州市柳铁中心医院、来宾市人民医院、崇左市人民医院、河池市人民医院、柳州市中医医院（柳州市壮医医院）、柳州市妇幼保健院、钦州市第二人民医院、岑溪市人民医院、博白县人民医院、桂林市妇幼保健院、来宾市中医医院、靖西市人民医院。</w:t>
      </w:r>
    </w:p>
    <w:p w14:paraId="5DD7BCF1">
      <w:pPr>
        <w:pStyle w:val="59"/>
        <w:ind w:firstLine="420"/>
      </w:pPr>
      <w:r>
        <w:rPr>
          <w:rFonts w:hint="eastAsia"/>
        </w:rPr>
        <w:t>本文件主要起草人：罗晓璐、罗晓成、陆月禧、黄宛虹、莫伟平、刘泽端、邹光美、罗金、李明芬、韦尚谋、陈翔、罗雪林、黄伟、覃卫洪、彭征、丁燕玲、黄凯华、覃泽义、李金莲、秦文珍、彭秋玲、苏广谢、张泳仪、曾嫚妮、苏振洲、周晓萍、甘丽英、潘刚熙、梁洁琼、卢珮、韦振雷、张红雨、吕晓兰、梁柳、陈娴、朱云柳、李红霞、黄志超、梁显席、磨立达、马联、庞晓泸、闭德武。</w:t>
      </w:r>
    </w:p>
    <w:p w14:paraId="3A06F394">
      <w:pPr>
        <w:pStyle w:val="59"/>
        <w:ind w:firstLine="420"/>
      </w:pPr>
    </w:p>
    <w:p w14:paraId="08BB3D9B">
      <w:pPr>
        <w:pStyle w:val="59"/>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0"/>
    <w:p w14:paraId="7B65EA6F">
      <w:pPr>
        <w:spacing w:line="20" w:lineRule="exact"/>
        <w:jc w:val="center"/>
        <w:rPr>
          <w:rFonts w:ascii="黑体" w:hAnsi="黑体" w:eastAsia="黑体"/>
          <w:sz w:val="32"/>
          <w:szCs w:val="32"/>
        </w:rPr>
      </w:pPr>
      <w:bookmarkStart w:id="21" w:name="BookMark4"/>
    </w:p>
    <w:p w14:paraId="4944A239">
      <w:pPr>
        <w:spacing w:line="20" w:lineRule="exact"/>
        <w:jc w:val="center"/>
        <w:rPr>
          <w:rFonts w:ascii="黑体" w:hAnsi="黑体" w:eastAsia="黑体"/>
          <w:sz w:val="32"/>
          <w:szCs w:val="32"/>
        </w:rPr>
      </w:pPr>
    </w:p>
    <w:sdt>
      <w:sdtPr>
        <w:tag w:val="NEW_STAND_NAME"/>
        <w:id w:val="595910757"/>
        <w:lock w:val="sdtLocked"/>
        <w:placeholder>
          <w:docPart w:val="374D4D58822A4F6385E8B32AF3970681"/>
        </w:placeholder>
      </w:sdtPr>
      <w:sdtContent>
        <w:p w14:paraId="1283BEF3">
          <w:pPr>
            <w:pStyle w:val="180"/>
            <w:spacing w:before="2" w:beforeLines="1" w:after="528" w:afterLines="220"/>
          </w:pPr>
          <w:bookmarkStart w:id="22" w:name="NEW_STAND_NAME"/>
          <w:r>
            <w:rPr>
              <w:rFonts w:hint="eastAsia"/>
            </w:rPr>
            <w:t>肺炎支原体抗体检测</w:t>
          </w:r>
          <w:r>
            <w:t xml:space="preserve">  吖啶酯化学发光法</w:t>
          </w:r>
        </w:p>
      </w:sdtContent>
    </w:sdt>
    <w:bookmarkEnd w:id="22"/>
    <w:p w14:paraId="35670F05">
      <w:pPr>
        <w:pStyle w:val="59"/>
        <w:ind w:firstLine="420"/>
        <w:rPr>
          <w:rFonts w:ascii="黑体" w:hAnsi="黑体" w:eastAsia="黑体"/>
        </w:rPr>
      </w:pPr>
      <w:bookmarkStart w:id="23" w:name="_Toc26648465"/>
      <w:bookmarkStart w:id="24" w:name="_Toc26986771"/>
      <w:bookmarkStart w:id="25" w:name="_Toc24884211"/>
      <w:bookmarkStart w:id="26" w:name="_Toc97192964"/>
      <w:bookmarkStart w:id="27" w:name="_Toc24884218"/>
      <w:bookmarkStart w:id="28" w:name="_Toc26986530"/>
      <w:bookmarkStart w:id="29" w:name="_Toc26718930"/>
      <w:bookmarkStart w:id="30" w:name="_Toc17233333"/>
      <w:bookmarkStart w:id="31" w:name="_Toc17233325"/>
      <w:r>
        <w:rPr>
          <w:rFonts w:hint="eastAsia" w:ascii="黑体" w:hAnsi="黑体" w:eastAsia="黑体"/>
        </w:rPr>
        <w:t>警告：使用本文件的人员应有临床实验室工作的实践经验。本文件并未指出所有可能的安全问题。使用者有责任采取适当的安全和健康措施，并保证符合国家有关法规规定的条件。</w:t>
      </w:r>
    </w:p>
    <w:p w14:paraId="472FDE17">
      <w:pPr>
        <w:pStyle w:val="107"/>
        <w:spacing w:before="240" w:after="240"/>
      </w:pPr>
      <w:r>
        <w:rPr>
          <w:rFonts w:hint="eastAsia"/>
        </w:rPr>
        <w:t>范围</w:t>
      </w:r>
      <w:bookmarkEnd w:id="23"/>
      <w:bookmarkEnd w:id="24"/>
      <w:bookmarkEnd w:id="25"/>
      <w:bookmarkEnd w:id="26"/>
      <w:bookmarkEnd w:id="27"/>
      <w:bookmarkEnd w:id="28"/>
      <w:bookmarkEnd w:id="29"/>
      <w:bookmarkEnd w:id="30"/>
      <w:bookmarkEnd w:id="31"/>
    </w:p>
    <w:p w14:paraId="2EED2A93">
      <w:pPr>
        <w:pStyle w:val="59"/>
        <w:ind w:firstLine="420"/>
      </w:pPr>
      <w:bookmarkStart w:id="32" w:name="_Toc17233334"/>
      <w:bookmarkStart w:id="33" w:name="_Toc17233326"/>
      <w:bookmarkStart w:id="34" w:name="_Toc24884219"/>
      <w:bookmarkStart w:id="35" w:name="_Toc24884212"/>
      <w:bookmarkStart w:id="36" w:name="_Toc26648466"/>
      <w:r>
        <w:rPr>
          <w:rFonts w:hint="eastAsia"/>
        </w:rPr>
        <w:t>本文件界定</w:t>
      </w:r>
      <w:r>
        <w:t>了</w:t>
      </w:r>
      <w:r>
        <w:rPr>
          <w:rFonts w:hint="eastAsia"/>
        </w:rPr>
        <w:t>吖啶酯化学发光法的</w:t>
      </w:r>
      <w:r>
        <w:t>术语和</w:t>
      </w:r>
      <w:r>
        <w:rPr>
          <w:rFonts w:hint="eastAsia"/>
        </w:rPr>
        <w:t>定义、缩略语</w:t>
      </w:r>
      <w:r>
        <w:t>，</w:t>
      </w:r>
      <w:r>
        <w:rPr>
          <w:rFonts w:hint="eastAsia"/>
        </w:rPr>
        <w:t>描述了吖啶酯化学发光法检测肺炎支原体抗体的方法。</w:t>
      </w:r>
    </w:p>
    <w:p w14:paraId="69BA7C8A">
      <w:pPr>
        <w:pStyle w:val="59"/>
        <w:ind w:firstLine="420"/>
      </w:pPr>
      <w:r>
        <w:rPr>
          <w:rFonts w:hint="eastAsia"/>
        </w:rPr>
        <w:t>本文件适用于人体血清/血浆肺炎支原体抗体的吖啶酯化学发光法检测。</w:t>
      </w:r>
    </w:p>
    <w:p w14:paraId="7EB78232">
      <w:pPr>
        <w:pStyle w:val="107"/>
        <w:spacing w:before="240" w:after="240"/>
      </w:pPr>
      <w:bookmarkStart w:id="37" w:name="_Toc97192965"/>
      <w:bookmarkStart w:id="38" w:name="_Toc26986531"/>
      <w:bookmarkStart w:id="39" w:name="_Toc26718931"/>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0D5BA53F9E1649629A9965C55DD5FE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BBA4E88">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727B72F">
      <w:pPr>
        <w:pStyle w:val="59"/>
        <w:ind w:firstLine="420"/>
        <w:rPr>
          <w:rFonts w:hint="eastAsia"/>
        </w:rPr>
      </w:pPr>
      <w:r>
        <w:rPr>
          <w:rFonts w:hint="eastAsia"/>
        </w:rPr>
        <w:t>GB</w:t>
      </w:r>
      <w:r>
        <w:t>/</w:t>
      </w:r>
      <w:r>
        <w:rPr>
          <w:rFonts w:hint="eastAsia"/>
        </w:rPr>
        <w:t>T</w:t>
      </w:r>
      <w:r>
        <w:t xml:space="preserve"> </w:t>
      </w:r>
      <w:r>
        <w:rPr>
          <w:rFonts w:hint="eastAsia"/>
        </w:rPr>
        <w:t>27424</w:t>
      </w:r>
      <w:r>
        <w:t xml:space="preserve">  </w:t>
      </w:r>
      <w:r>
        <w:rPr>
          <w:rFonts w:hint="eastAsia"/>
        </w:rPr>
        <w:t xml:space="preserve">合格评定 </w:t>
      </w:r>
      <w:r>
        <w:t xml:space="preserve"> </w:t>
      </w:r>
      <w:r>
        <w:rPr>
          <w:rFonts w:hint="eastAsia"/>
        </w:rPr>
        <w:t>非可溯源生物质控品质量控制规范</w:t>
      </w:r>
    </w:p>
    <w:p w14:paraId="47EDB080">
      <w:pPr>
        <w:pStyle w:val="59"/>
        <w:ind w:firstLine="420"/>
      </w:pPr>
      <w:r>
        <w:t xml:space="preserve">WS/T 661  </w:t>
      </w:r>
      <w:r>
        <w:rPr>
          <w:rFonts w:hint="eastAsia"/>
        </w:rPr>
        <w:t>静脉血液标本采集指南</w:t>
      </w:r>
    </w:p>
    <w:p w14:paraId="6448E343">
      <w:pPr>
        <w:pStyle w:val="59"/>
        <w:ind w:firstLine="420"/>
      </w:pPr>
      <w:r>
        <w:rPr>
          <w:rFonts w:hint="eastAsia"/>
        </w:rPr>
        <w:t>YY/T 0314  一次性使用人体静脉血样采集容器</w:t>
      </w:r>
    </w:p>
    <w:p w14:paraId="08E9E070">
      <w:pPr>
        <w:pStyle w:val="59"/>
        <w:ind w:firstLine="420"/>
      </w:pPr>
      <w:r>
        <w:t xml:space="preserve">YY/T 1225  </w:t>
      </w:r>
      <w:r>
        <w:rPr>
          <w:rFonts w:hint="eastAsia"/>
        </w:rPr>
        <w:t>肺炎支原体抗体检测试剂盒</w:t>
      </w:r>
    </w:p>
    <w:p w14:paraId="32A73770">
      <w:pPr>
        <w:pStyle w:val="107"/>
        <w:spacing w:before="240" w:after="240"/>
      </w:pPr>
      <w:bookmarkStart w:id="41" w:name="_Toc97192966"/>
      <w:r>
        <w:rPr>
          <w:rFonts w:hint="eastAsia"/>
          <w:szCs w:val="21"/>
        </w:rPr>
        <w:t>术语和定义</w:t>
      </w:r>
      <w:bookmarkEnd w:id="41"/>
    </w:p>
    <w:sdt>
      <w:sdtPr>
        <w:id w:val="-1909835108"/>
        <w:placeholder>
          <w:docPart w:val="39CAE8EC615F4A42A71030CEFF35145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436BF88">
          <w:pPr>
            <w:pStyle w:val="59"/>
            <w:ind w:firstLine="420"/>
          </w:pPr>
          <w:bookmarkStart w:id="42" w:name="_Toc26986532"/>
          <w:bookmarkEnd w:id="42"/>
          <w:r>
            <w:t>下列术语和定义适用于本文件。</w:t>
          </w:r>
        </w:p>
      </w:sdtContent>
    </w:sdt>
    <w:p w14:paraId="75EC4447">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吖啶酯化学发光法 </w:t>
      </w:r>
      <w:r>
        <w:rPr>
          <w:rFonts w:ascii="黑体" w:hAnsi="黑体" w:eastAsia="黑体"/>
        </w:rPr>
        <w:t xml:space="preserve"> acridinium ester chemiluminescent assay</w:t>
      </w:r>
    </w:p>
    <w:p w14:paraId="2C0F9426">
      <w:pPr>
        <w:pStyle w:val="59"/>
        <w:ind w:firstLine="420"/>
      </w:pPr>
      <w:r>
        <w:rPr>
          <w:rFonts w:hint="eastAsia"/>
        </w:rPr>
        <w:t>一种基于化学发光原理，利用吖啶酯作为发光标记物，在特定化学反应条件下产生光信号，实现对目标物质的定量或定性分析的</w:t>
      </w:r>
      <w:bookmarkStart w:id="47" w:name="_GoBack"/>
      <w:bookmarkEnd w:id="47"/>
      <w:r>
        <w:rPr>
          <w:rFonts w:hint="eastAsia"/>
        </w:rPr>
        <w:t>检测技术。</w:t>
      </w:r>
    </w:p>
    <w:p w14:paraId="3059C178">
      <w:pPr>
        <w:pStyle w:val="107"/>
        <w:spacing w:before="240" w:after="240"/>
      </w:pPr>
      <w:r>
        <w:rPr>
          <w:rFonts w:hint="eastAsia"/>
        </w:rPr>
        <w:t>缩略语</w:t>
      </w:r>
    </w:p>
    <w:p w14:paraId="29A2EB5C">
      <w:pPr>
        <w:pStyle w:val="59"/>
        <w:ind w:firstLine="420"/>
      </w:pPr>
      <w:r>
        <w:rPr>
          <w:rFonts w:hint="eastAsia"/>
        </w:rPr>
        <w:t>下列缩略语适用于本文件。</w:t>
      </w:r>
    </w:p>
    <w:p w14:paraId="4928E790">
      <w:pPr>
        <w:pStyle w:val="59"/>
        <w:ind w:firstLine="420"/>
      </w:pPr>
      <w:r>
        <w:t>COI</w:t>
      </w:r>
      <w:r>
        <w:rPr>
          <w:rFonts w:hint="eastAsia"/>
        </w:rPr>
        <w:t>：</w:t>
      </w:r>
      <w:r>
        <w:t>临界值指数</w:t>
      </w:r>
      <w:r>
        <w:rPr>
          <w:rFonts w:hint="eastAsia"/>
        </w:rPr>
        <w:t>（</w:t>
      </w:r>
      <w:r>
        <w:t>Cut Off Index</w:t>
      </w:r>
      <w:r>
        <w:rPr>
          <w:rFonts w:hint="eastAsia"/>
        </w:rPr>
        <w:t>）</w:t>
      </w:r>
    </w:p>
    <w:p w14:paraId="1C834214">
      <w:pPr>
        <w:pStyle w:val="59"/>
        <w:ind w:firstLine="420"/>
      </w:pPr>
      <w:r>
        <w:rPr>
          <w:rFonts w:hint="eastAsia"/>
        </w:rPr>
        <w:t>EDTA：乙二胺四乙酸溶液（Ethylenediaminetetraacetic Acid）</w:t>
      </w:r>
    </w:p>
    <w:p w14:paraId="69216177">
      <w:pPr>
        <w:pStyle w:val="59"/>
        <w:ind w:firstLine="420"/>
      </w:pPr>
      <w:r>
        <w:rPr>
          <w:rFonts w:hint="eastAsia"/>
        </w:rPr>
        <w:t>RCF：相对</w:t>
      </w:r>
      <w:r>
        <w:t>离心力（Relative Centrifugal Force）</w:t>
      </w:r>
    </w:p>
    <w:p w14:paraId="48146A19">
      <w:pPr>
        <w:pStyle w:val="59"/>
        <w:ind w:firstLine="420"/>
      </w:pPr>
      <w:r>
        <w:rPr>
          <w:rFonts w:hint="eastAsia"/>
        </w:rPr>
        <w:t>RLU：相对发光强度（Relative Light Unit）</w:t>
      </w:r>
    </w:p>
    <w:p w14:paraId="519B76C1">
      <w:pPr>
        <w:pStyle w:val="107"/>
        <w:spacing w:before="240" w:after="240"/>
      </w:pPr>
      <w:r>
        <w:rPr>
          <w:rFonts w:hint="eastAsia"/>
        </w:rPr>
        <w:t>原理</w:t>
      </w:r>
    </w:p>
    <w:p w14:paraId="27A6C275">
      <w:pPr>
        <w:pStyle w:val="59"/>
        <w:ind w:firstLine="420"/>
      </w:pPr>
      <w:r>
        <w:rPr>
          <w:rFonts w:hint="eastAsia"/>
        </w:rPr>
        <w:t>采用吖啶酯化学发光法进行检测，样本中肺炎支原体IgM/IgG抗体和超顺磁性微粒上包被的肺炎支原体抗原反应，形成抗原-抗体复合物。在磁场作用下，磁微粒被吸附到反应管壁，未结合的物质被清洗液洗去。加入吖啶酯标记的鼠抗人IgM/IgG抗体进行反应，形成固相包被抗原-抗体-吖啶酯标记的抗抗体复合物。再次清洗。在反应混合物中加入预激发液（过氧化氢）后，吖啶酯在碱性激发液（氢氧化钠）作用下发生氧化反应，产生化学发光，由集光器进行接收，经光电倍增管放大，记录产生的光子能，样本中的肺炎支原体IgM/IgG抗体的量和测定仪光学系统检测到的RLU之间成正比。根据标准曲线，仪器自动计算出待测抗体含量。</w:t>
      </w:r>
    </w:p>
    <w:p w14:paraId="7482EB85">
      <w:pPr>
        <w:pStyle w:val="59"/>
        <w:ind w:firstLine="420"/>
      </w:pPr>
    </w:p>
    <w:p w14:paraId="4C7F8EB9">
      <w:pPr>
        <w:pStyle w:val="59"/>
        <w:ind w:firstLine="420"/>
      </w:pPr>
    </w:p>
    <w:p w14:paraId="3AB5FC4A">
      <w:pPr>
        <w:pStyle w:val="107"/>
        <w:spacing w:before="240" w:after="240"/>
      </w:pPr>
      <w:r>
        <w:rPr>
          <w:rFonts w:hint="eastAsia"/>
        </w:rPr>
        <w:t>仪器</w:t>
      </w:r>
      <w:r>
        <w:t>和设备</w:t>
      </w:r>
    </w:p>
    <w:p w14:paraId="52D2252B">
      <w:pPr>
        <w:pStyle w:val="165"/>
      </w:pPr>
      <w:r>
        <w:rPr>
          <w:rFonts w:hint="eastAsia"/>
        </w:rPr>
        <w:t>全自动化学发光测定仪。</w:t>
      </w:r>
    </w:p>
    <w:p w14:paraId="1FF91575">
      <w:pPr>
        <w:pStyle w:val="165"/>
      </w:pPr>
      <w:r>
        <w:rPr>
          <w:rFonts w:hint="eastAsia"/>
        </w:rPr>
        <w:t>离心机（RCF：1</w:t>
      </w:r>
      <w:r>
        <w:rPr>
          <w:vertAlign w:val="superscript"/>
        </w:rPr>
        <w:t xml:space="preserve"> </w:t>
      </w:r>
      <w:r>
        <w:rPr>
          <w:rFonts w:hint="eastAsia"/>
        </w:rPr>
        <w:t>200×g～1</w:t>
      </w:r>
      <w:r>
        <w:rPr>
          <w:vertAlign w:val="superscript"/>
        </w:rPr>
        <w:t xml:space="preserve"> </w:t>
      </w:r>
      <w:r>
        <w:rPr>
          <w:rFonts w:hint="eastAsia"/>
        </w:rPr>
        <w:t>700×g）。</w:t>
      </w:r>
    </w:p>
    <w:p w14:paraId="5D7348D3">
      <w:pPr>
        <w:pStyle w:val="165"/>
      </w:pPr>
      <w:r>
        <w:rPr>
          <w:rFonts w:hint="eastAsia"/>
        </w:rPr>
        <w:t>医用冰箱（根据保存需求配备冷藏/冷冻式冰箱）。</w:t>
      </w:r>
    </w:p>
    <w:p w14:paraId="05F76E75">
      <w:pPr>
        <w:pStyle w:val="107"/>
        <w:spacing w:before="240" w:after="240"/>
      </w:pPr>
      <w:r>
        <w:rPr>
          <w:rFonts w:hint="eastAsia"/>
        </w:rPr>
        <w:t>试剂和材料</w:t>
      </w:r>
    </w:p>
    <w:p w14:paraId="04C9265C">
      <w:pPr>
        <w:pStyle w:val="59"/>
        <w:ind w:firstLine="420"/>
        <w:rPr>
          <w:rFonts w:ascii="黑体" w:hAnsi="黑体" w:eastAsia="黑体"/>
        </w:rPr>
      </w:pPr>
      <w:r>
        <w:rPr>
          <w:rFonts w:hint="eastAsia" w:ascii="黑体" w:hAnsi="黑体" w:eastAsia="黑体"/>
        </w:rPr>
        <w:t>警告：激发液中含有氢氧化钠，对人体皮肤、呼吸道和消化道等有腐蚀风险，操作时应做好安全防护措施。</w:t>
      </w:r>
    </w:p>
    <w:p w14:paraId="0B3EC8C6">
      <w:pPr>
        <w:pStyle w:val="165"/>
      </w:pPr>
      <w:r>
        <w:rPr>
          <w:rFonts w:hint="eastAsia"/>
        </w:rPr>
        <w:t>除另有规定外，所用试剂均为分析纯，所有采样管的技术要求应符合YY/T 0314的规定。</w:t>
      </w:r>
    </w:p>
    <w:p w14:paraId="5FFECC82">
      <w:pPr>
        <w:pStyle w:val="165"/>
      </w:pPr>
      <w:r>
        <w:rPr>
          <w:rFonts w:hint="eastAsia"/>
        </w:rPr>
        <w:t>试剂盒：市售，2</w:t>
      </w:r>
      <w:r>
        <w:rPr>
          <w:vertAlign w:val="superscript"/>
        </w:rPr>
        <w:t xml:space="preserve"> </w:t>
      </w:r>
      <w:r>
        <w:rPr>
          <w:rFonts w:hint="eastAsia"/>
        </w:rPr>
        <w:t>℃～8</w:t>
      </w:r>
      <w:r>
        <w:rPr>
          <w:vertAlign w:val="superscript"/>
        </w:rPr>
        <w:t xml:space="preserve"> </w:t>
      </w:r>
      <w:r>
        <w:rPr>
          <w:rFonts w:hint="eastAsia"/>
        </w:rPr>
        <w:t>℃存放，符合</w:t>
      </w:r>
      <w:r>
        <w:t>YY/T</w:t>
      </w:r>
      <w:r>
        <w:rPr>
          <w:rFonts w:hint="eastAsia"/>
        </w:rPr>
        <w:t xml:space="preserve"> </w:t>
      </w:r>
      <w:r>
        <w:t>1225</w:t>
      </w:r>
      <w:r>
        <w:rPr>
          <w:rFonts w:hint="eastAsia"/>
        </w:rPr>
        <w:t>的规定。组成包括</w:t>
      </w:r>
      <w:r>
        <w:t>：</w:t>
      </w:r>
    </w:p>
    <w:p w14:paraId="4ECFECE9">
      <w:pPr>
        <w:pStyle w:val="135"/>
      </w:pPr>
      <w:r>
        <w:rPr>
          <w:rFonts w:hint="eastAsia"/>
        </w:rPr>
        <w:t>试剂1（R1）：肺炎支原体抗原包被的磁微粒，磷酸盐缓冲液，含防腐剂；</w:t>
      </w:r>
    </w:p>
    <w:p w14:paraId="3FED8529">
      <w:pPr>
        <w:pStyle w:val="135"/>
      </w:pPr>
      <w:r>
        <w:rPr>
          <w:rFonts w:hint="eastAsia"/>
        </w:rPr>
        <w:t>试剂2（R2）：鼠抗人IgG/IgM吖啶酯标记物，Tris缓冲液，含防腐剂；</w:t>
      </w:r>
    </w:p>
    <w:p w14:paraId="4E4CC4DE">
      <w:pPr>
        <w:pStyle w:val="135"/>
      </w:pPr>
      <w:r>
        <w:rPr>
          <w:rFonts w:hint="eastAsia"/>
        </w:rPr>
        <w:t>试剂3（R3）：磷酸盐缓冲液，含防腐剂；</w:t>
      </w:r>
    </w:p>
    <w:p w14:paraId="1EF2ACA8">
      <w:pPr>
        <w:pStyle w:val="135"/>
      </w:pPr>
      <w:r>
        <w:rPr>
          <w:rFonts w:hint="eastAsia"/>
        </w:rPr>
        <w:t>校准品（CAL1、CAL2、CAL3）：</w:t>
      </w:r>
      <w:r>
        <w:t>含有</w:t>
      </w:r>
      <w:r>
        <w:rPr>
          <w:rFonts w:hint="eastAsia"/>
        </w:rPr>
        <w:t>已知浓度</w:t>
      </w:r>
      <w:r>
        <w:t>肺炎支原体Ig</w:t>
      </w:r>
      <w:r>
        <w:rPr>
          <w:rFonts w:hint="eastAsia"/>
        </w:rPr>
        <w:t>M</w:t>
      </w:r>
      <w:r>
        <w:t>/Ig</w:t>
      </w:r>
      <w:r>
        <w:rPr>
          <w:rFonts w:hint="eastAsia"/>
        </w:rPr>
        <w:t>G</w:t>
      </w:r>
      <w:r>
        <w:t>的溶液，用于建立定量检测的标准曲线</w:t>
      </w:r>
      <w:r>
        <w:rPr>
          <w:rFonts w:hint="eastAsia"/>
        </w:rPr>
        <w:t>，</w:t>
      </w:r>
      <w:r>
        <w:t>其浓度范围覆盖方法的定量检测范围</w:t>
      </w:r>
      <w:r>
        <w:rPr>
          <w:rFonts w:hint="eastAsia"/>
        </w:rPr>
        <w:t>；</w:t>
      </w:r>
    </w:p>
    <w:p w14:paraId="25BAAD86">
      <w:pPr>
        <w:pStyle w:val="135"/>
      </w:pPr>
      <w:r>
        <w:rPr>
          <w:rFonts w:hint="eastAsia"/>
        </w:rPr>
        <w:t>预激发液：过氧化氢（H</w:t>
      </w:r>
      <w:r>
        <w:rPr>
          <w:rFonts w:hint="eastAsia"/>
          <w:vertAlign w:val="subscript"/>
        </w:rPr>
        <w:t>2</w:t>
      </w:r>
      <w:r>
        <w:rPr>
          <w:rFonts w:hint="eastAsia"/>
        </w:rPr>
        <w:t>O</w:t>
      </w:r>
      <w:r>
        <w:rPr>
          <w:rFonts w:hint="eastAsia"/>
          <w:vertAlign w:val="subscript"/>
        </w:rPr>
        <w:t>2</w:t>
      </w:r>
      <w:r>
        <w:rPr>
          <w:rFonts w:hint="eastAsia"/>
        </w:rPr>
        <w:t>）溶液；</w:t>
      </w:r>
    </w:p>
    <w:p w14:paraId="60545E4F">
      <w:pPr>
        <w:pStyle w:val="135"/>
      </w:pPr>
      <w:r>
        <w:rPr>
          <w:rFonts w:hint="eastAsia"/>
        </w:rPr>
        <w:t>激发液：氢氧化钠（N</w:t>
      </w:r>
      <w:r>
        <w:t>a</w:t>
      </w:r>
      <w:r>
        <w:rPr>
          <w:rFonts w:hint="eastAsia"/>
        </w:rPr>
        <w:t>OH）溶液；</w:t>
      </w:r>
    </w:p>
    <w:p w14:paraId="5D9C07C1">
      <w:pPr>
        <w:pStyle w:val="135"/>
      </w:pPr>
      <w:r>
        <w:rPr>
          <w:rFonts w:hint="eastAsia"/>
        </w:rPr>
        <w:t>清洗液：磷酸盐溶液，含防腐剂。</w:t>
      </w:r>
    </w:p>
    <w:p w14:paraId="20BF7C07">
      <w:pPr>
        <w:pStyle w:val="165"/>
      </w:pPr>
      <w:r>
        <w:rPr>
          <w:rFonts w:hint="eastAsia"/>
        </w:rPr>
        <w:t>质控品：按GB</w:t>
      </w:r>
      <w:r>
        <w:t>/</w:t>
      </w:r>
      <w:r>
        <w:rPr>
          <w:rFonts w:hint="eastAsia"/>
        </w:rPr>
        <w:t>T</w:t>
      </w:r>
      <w:r>
        <w:t xml:space="preserve"> </w:t>
      </w:r>
      <w:r>
        <w:rPr>
          <w:rFonts w:hint="eastAsia"/>
        </w:rPr>
        <w:t>27424的要求制备，含有已知浓度肺炎支原体IgM/IgG的溶液，至少包括正常值与异常值两个水平。</w:t>
      </w:r>
    </w:p>
    <w:p w14:paraId="0DA4C8E0">
      <w:pPr>
        <w:pStyle w:val="165"/>
      </w:pPr>
      <w:r>
        <w:rPr>
          <w:rFonts w:hint="eastAsia"/>
        </w:rPr>
        <w:t>反应管。</w:t>
      </w:r>
    </w:p>
    <w:p w14:paraId="352F2A29">
      <w:pPr>
        <w:pStyle w:val="165"/>
      </w:pPr>
      <w:r>
        <w:rPr>
          <w:rFonts w:hint="eastAsia"/>
        </w:rPr>
        <w:t>无抗凝剂的真空采血管。</w:t>
      </w:r>
    </w:p>
    <w:p w14:paraId="2BCA4DC2">
      <w:pPr>
        <w:pStyle w:val="165"/>
      </w:pPr>
      <w:r>
        <w:rPr>
          <w:rFonts w:hint="eastAsia"/>
        </w:rPr>
        <w:t>含抗凝剂的采血管（如含肝素钠、肝素锂、EDTA和柠檬酸钠等抗凝剂采血管）。</w:t>
      </w:r>
    </w:p>
    <w:p w14:paraId="23B43775">
      <w:pPr>
        <w:pStyle w:val="165"/>
      </w:pPr>
      <w:r>
        <w:rPr>
          <w:rFonts w:hint="eastAsia"/>
        </w:rPr>
        <w:t>促凝管：含促凝剂和分离胶的采血管。</w:t>
      </w:r>
    </w:p>
    <w:p w14:paraId="0763D718">
      <w:pPr>
        <w:pStyle w:val="107"/>
        <w:spacing w:before="240" w:after="240"/>
      </w:pPr>
      <w:r>
        <w:rPr>
          <w:rFonts w:hint="eastAsia"/>
        </w:rPr>
        <w:t>样本采集和处理</w:t>
      </w:r>
    </w:p>
    <w:p w14:paraId="2F7BF7A7">
      <w:pPr>
        <w:pStyle w:val="108"/>
        <w:spacing w:before="120" w:after="120"/>
      </w:pPr>
      <w:r>
        <w:rPr>
          <w:rFonts w:hint="eastAsia"/>
        </w:rPr>
        <w:t>静脉血液采集及处理</w:t>
      </w:r>
    </w:p>
    <w:p w14:paraId="3EF75C55">
      <w:pPr>
        <w:pStyle w:val="168"/>
      </w:pPr>
      <w:r>
        <w:rPr>
          <w:rFonts w:hint="eastAsia"/>
        </w:rPr>
        <w:t>静脉血液样本的采集和处理参照WS/T 661的要求进行。</w:t>
      </w:r>
    </w:p>
    <w:p w14:paraId="5FAAA103">
      <w:pPr>
        <w:pStyle w:val="168"/>
      </w:pPr>
      <w:r>
        <w:rPr>
          <w:rFonts w:hint="eastAsia"/>
        </w:rPr>
        <w:t>血清：用无抗凝剂的真空采血管（7</w:t>
      </w:r>
      <w:r>
        <w:t>.5</w:t>
      </w:r>
      <w:r>
        <w:rPr>
          <w:rFonts w:hint="eastAsia"/>
        </w:rPr>
        <w:t>）或促凝管（7</w:t>
      </w:r>
      <w:r>
        <w:t>.7</w:t>
      </w:r>
      <w:r>
        <w:rPr>
          <w:rFonts w:hint="eastAsia"/>
        </w:rPr>
        <w:t>）采集外周血，非抗凝全血样本在室温下放置30</w:t>
      </w:r>
      <w:r>
        <w:rPr>
          <w:vertAlign w:val="superscript"/>
        </w:rPr>
        <w:t xml:space="preserve"> </w:t>
      </w:r>
      <w:r>
        <w:rPr>
          <w:rFonts w:hint="eastAsia"/>
        </w:rPr>
        <w:t>min～60</w:t>
      </w:r>
      <w:r>
        <w:rPr>
          <w:vertAlign w:val="superscript"/>
        </w:rPr>
        <w:t xml:space="preserve"> </w:t>
      </w:r>
      <w:r>
        <w:rPr>
          <w:rFonts w:hint="eastAsia"/>
        </w:rPr>
        <w:t>min，至自然凝固、血块充分收缩，使用离心机（6</w:t>
      </w:r>
      <w:r>
        <w:t>.2</w:t>
      </w:r>
      <w:r>
        <w:rPr>
          <w:rFonts w:hint="eastAsia"/>
        </w:rPr>
        <w:t>）离心15</w:t>
      </w:r>
      <w:r>
        <w:rPr>
          <w:vertAlign w:val="superscript"/>
        </w:rPr>
        <w:t xml:space="preserve"> </w:t>
      </w:r>
      <w:r>
        <w:rPr>
          <w:rFonts w:hint="eastAsia"/>
        </w:rPr>
        <w:t>min后直接吸取血清进行检测。</w:t>
      </w:r>
    </w:p>
    <w:p w14:paraId="6FB24BA9">
      <w:pPr>
        <w:pStyle w:val="168"/>
      </w:pPr>
      <w:r>
        <w:rPr>
          <w:rFonts w:hint="eastAsia"/>
        </w:rPr>
        <w:t>血浆：用含抗凝剂的采血管（7</w:t>
      </w:r>
      <w:r>
        <w:t>.6</w:t>
      </w:r>
      <w:r>
        <w:rPr>
          <w:rFonts w:hint="eastAsia"/>
        </w:rPr>
        <w:t>）采集外周血，抗凝全血样本混匀并经离心机（6</w:t>
      </w:r>
      <w:r>
        <w:t>.2</w:t>
      </w:r>
      <w:r>
        <w:rPr>
          <w:rFonts w:hint="eastAsia"/>
        </w:rPr>
        <w:t>）离心15</w:t>
      </w:r>
      <w:r>
        <w:rPr>
          <w:vertAlign w:val="superscript"/>
        </w:rPr>
        <w:t xml:space="preserve"> </w:t>
      </w:r>
      <w:r>
        <w:rPr>
          <w:rFonts w:hint="eastAsia"/>
        </w:rPr>
        <w:t>min后直接吸取血浆进行检测。</w:t>
      </w:r>
    </w:p>
    <w:p w14:paraId="15A640D8">
      <w:pPr>
        <w:pStyle w:val="108"/>
        <w:spacing w:before="120" w:after="120"/>
      </w:pPr>
      <w:r>
        <w:rPr>
          <w:rFonts w:hint="eastAsia"/>
        </w:rPr>
        <w:t>样本保存</w:t>
      </w:r>
    </w:p>
    <w:p w14:paraId="278CE81A">
      <w:pPr>
        <w:pStyle w:val="168"/>
      </w:pPr>
      <w:r>
        <w:rPr>
          <w:rFonts w:hint="eastAsia"/>
        </w:rPr>
        <w:t>血液样本离心后的血浆/血清样本保存在带盖或其他密闭容器中。保存条件如下：</w:t>
      </w:r>
    </w:p>
    <w:p w14:paraId="6DA0B853">
      <w:pPr>
        <w:pStyle w:val="135"/>
      </w:pPr>
      <w:r>
        <w:rPr>
          <w:rFonts w:hint="eastAsia"/>
        </w:rPr>
        <w:t>在8</w:t>
      </w:r>
      <w:r>
        <w:rPr>
          <w:vertAlign w:val="superscript"/>
        </w:rPr>
        <w:t xml:space="preserve"> </w:t>
      </w:r>
      <w:r>
        <w:rPr>
          <w:rFonts w:hint="eastAsia"/>
        </w:rPr>
        <w:t>h内完成检测的，可在室温（20</w:t>
      </w:r>
      <w:r>
        <w:rPr>
          <w:vertAlign w:val="superscript"/>
        </w:rPr>
        <w:t xml:space="preserve"> </w:t>
      </w:r>
      <w:r>
        <w:rPr>
          <w:rFonts w:hint="eastAsia"/>
        </w:rPr>
        <w:t>℃～25</w:t>
      </w:r>
      <w:r>
        <w:rPr>
          <w:vertAlign w:val="superscript"/>
        </w:rPr>
        <w:t xml:space="preserve"> </w:t>
      </w:r>
      <w:r>
        <w:rPr>
          <w:rFonts w:hint="eastAsia"/>
        </w:rPr>
        <w:t>℃）下存放；</w:t>
      </w:r>
    </w:p>
    <w:p w14:paraId="53EB91EF">
      <w:pPr>
        <w:pStyle w:val="135"/>
      </w:pPr>
      <w:r>
        <w:rPr>
          <w:rFonts w:hint="eastAsia"/>
        </w:rPr>
        <w:t>在8</w:t>
      </w:r>
      <w:r>
        <w:rPr>
          <w:vertAlign w:val="superscript"/>
        </w:rPr>
        <w:t xml:space="preserve"> </w:t>
      </w:r>
      <w:r>
        <w:rPr>
          <w:rFonts w:hint="eastAsia"/>
        </w:rPr>
        <w:t>h内无法完成检测的，放置于2</w:t>
      </w:r>
      <w:r>
        <w:rPr>
          <w:vertAlign w:val="superscript"/>
        </w:rPr>
        <w:t xml:space="preserve"> </w:t>
      </w:r>
      <w:r>
        <w:rPr>
          <w:rFonts w:hint="eastAsia"/>
        </w:rPr>
        <w:t>℃～8</w:t>
      </w:r>
      <w:r>
        <w:rPr>
          <w:vertAlign w:val="superscript"/>
        </w:rPr>
        <w:t xml:space="preserve"> </w:t>
      </w:r>
      <w:r>
        <w:rPr>
          <w:rFonts w:hint="eastAsia"/>
        </w:rPr>
        <w:t>℃医用</w:t>
      </w:r>
      <w:r>
        <w:t>冰箱</w:t>
      </w:r>
      <w:r>
        <w:rPr>
          <w:rFonts w:hint="eastAsia"/>
        </w:rPr>
        <w:t>（6</w:t>
      </w:r>
      <w:r>
        <w:t>.3</w:t>
      </w:r>
      <w:r>
        <w:rPr>
          <w:rFonts w:hint="eastAsia"/>
        </w:rPr>
        <w:t>）</w:t>
      </w:r>
      <w:r>
        <w:t>中</w:t>
      </w:r>
      <w:r>
        <w:rPr>
          <w:rFonts w:hint="eastAsia"/>
        </w:rPr>
        <w:t>冷藏保存；</w:t>
      </w:r>
    </w:p>
    <w:p w14:paraId="1348FA61">
      <w:pPr>
        <w:pStyle w:val="135"/>
      </w:pPr>
      <w:r>
        <w:rPr>
          <w:rFonts w:hint="eastAsia"/>
        </w:rPr>
        <w:t>预计超过7</w:t>
      </w:r>
      <w:r>
        <w:rPr>
          <w:vertAlign w:val="superscript"/>
        </w:rPr>
        <w:t xml:space="preserve"> </w:t>
      </w:r>
      <w:r>
        <w:rPr>
          <w:rFonts w:hint="eastAsia"/>
        </w:rPr>
        <w:t>d无法完成检测的，将血清/血浆转移至冻存管保存在-20</w:t>
      </w:r>
      <w:r>
        <w:rPr>
          <w:vertAlign w:val="superscript"/>
        </w:rPr>
        <w:t xml:space="preserve"> </w:t>
      </w:r>
      <w:r>
        <w:rPr>
          <w:rFonts w:hint="eastAsia"/>
        </w:rPr>
        <w:t>℃或更低温度下冷冻保存；</w:t>
      </w:r>
    </w:p>
    <w:p w14:paraId="04CB7B0B">
      <w:pPr>
        <w:pStyle w:val="135"/>
      </w:pPr>
      <w:r>
        <w:rPr>
          <w:rFonts w:hint="eastAsia"/>
        </w:rPr>
        <w:t>样本需要运输时，将血清/血浆转移至冻存管低温条件下运输。</w:t>
      </w:r>
    </w:p>
    <w:p w14:paraId="0556AA04">
      <w:pPr>
        <w:pStyle w:val="168"/>
      </w:pPr>
      <w:r>
        <w:rPr>
          <w:rFonts w:hint="eastAsia"/>
        </w:rPr>
        <w:t>冷冻样本在复溶后进行充分混匀。</w:t>
      </w:r>
    </w:p>
    <w:p w14:paraId="4622D3A0">
      <w:pPr>
        <w:pStyle w:val="168"/>
      </w:pPr>
      <w:r>
        <w:rPr>
          <w:rFonts w:hint="eastAsia"/>
        </w:rPr>
        <w:t>样本冻融次数不超过3次。</w:t>
      </w:r>
    </w:p>
    <w:p w14:paraId="37DCB73A">
      <w:pPr>
        <w:pStyle w:val="168"/>
      </w:pPr>
      <w:r>
        <w:rPr>
          <w:rFonts w:hint="eastAsia"/>
        </w:rPr>
        <w:t>不使用热灭活的样本。</w:t>
      </w:r>
    </w:p>
    <w:p w14:paraId="0C65F0DA">
      <w:pPr>
        <w:pStyle w:val="168"/>
        <w:numPr>
          <w:ilvl w:val="0"/>
          <w:numId w:val="0"/>
        </w:numPr>
      </w:pPr>
    </w:p>
    <w:p w14:paraId="330C9715">
      <w:pPr>
        <w:pStyle w:val="168"/>
        <w:numPr>
          <w:ilvl w:val="0"/>
          <w:numId w:val="0"/>
        </w:numPr>
      </w:pPr>
    </w:p>
    <w:p w14:paraId="3FA91F79">
      <w:pPr>
        <w:pStyle w:val="107"/>
        <w:spacing w:before="240" w:after="240"/>
      </w:pPr>
      <w:r>
        <w:rPr>
          <w:rFonts w:hint="eastAsia"/>
        </w:rPr>
        <w:t>检测程序</w:t>
      </w:r>
    </w:p>
    <w:p w14:paraId="72E4559E">
      <w:pPr>
        <w:pStyle w:val="108"/>
        <w:spacing w:before="120" w:after="120"/>
      </w:pPr>
      <w:r>
        <w:rPr>
          <w:rFonts w:hint="eastAsia"/>
        </w:rPr>
        <w:t>检测前准备</w:t>
      </w:r>
    </w:p>
    <w:p w14:paraId="792A6FA7">
      <w:pPr>
        <w:pStyle w:val="68"/>
        <w:spacing w:before="120" w:after="120"/>
      </w:pPr>
      <w:r>
        <w:rPr>
          <w:rFonts w:hint="eastAsia"/>
        </w:rPr>
        <w:t>仪器准备</w:t>
      </w:r>
    </w:p>
    <w:p w14:paraId="27494403">
      <w:pPr>
        <w:pStyle w:val="59"/>
        <w:ind w:firstLine="420"/>
      </w:pPr>
      <w:r>
        <w:rPr>
          <w:rFonts w:hint="eastAsia"/>
        </w:rPr>
        <w:t>按照全自动化学发光测定仪（6</w:t>
      </w:r>
      <w:r>
        <w:t>.1</w:t>
      </w:r>
      <w:r>
        <w:rPr>
          <w:rFonts w:hint="eastAsia"/>
        </w:rPr>
        <w:t>）操作规程开机，执行自检与初始化。将试剂盒试剂（7.</w:t>
      </w:r>
      <w:r>
        <w:t>2</w:t>
      </w:r>
      <w:r>
        <w:rPr>
          <w:rFonts w:hint="eastAsia"/>
        </w:rPr>
        <w:t>）、反应管（7</w:t>
      </w:r>
      <w:r>
        <w:t>.4</w:t>
      </w:r>
      <w:r>
        <w:rPr>
          <w:rFonts w:hint="eastAsia"/>
        </w:rPr>
        <w:t>）等装载至指定位置，并确保余量充足。</w:t>
      </w:r>
    </w:p>
    <w:p w14:paraId="3810BB83">
      <w:pPr>
        <w:pStyle w:val="68"/>
        <w:spacing w:before="120" w:after="120"/>
      </w:pPr>
      <w:r>
        <w:rPr>
          <w:rFonts w:hint="eastAsia"/>
        </w:rPr>
        <w:t>试剂与样本准备</w:t>
      </w:r>
    </w:p>
    <w:p w14:paraId="6B25D1DE">
      <w:pPr>
        <w:pStyle w:val="59"/>
        <w:ind w:firstLine="420"/>
      </w:pPr>
      <w:r>
        <w:rPr>
          <w:rFonts w:hint="eastAsia"/>
        </w:rPr>
        <w:t>将校准品（7</w:t>
      </w:r>
      <w:r>
        <w:t>.2</w:t>
      </w:r>
      <w:r>
        <w:rPr>
          <w:rFonts w:hint="eastAsia"/>
        </w:rPr>
        <w:t>）、质控品（7</w:t>
      </w:r>
      <w:r>
        <w:t>.3</w:t>
      </w:r>
      <w:r>
        <w:rPr>
          <w:rFonts w:hint="eastAsia"/>
        </w:rPr>
        <w:t>）及待测样本平衡至室温后方可使用。</w:t>
      </w:r>
    </w:p>
    <w:p w14:paraId="45A49195">
      <w:pPr>
        <w:pStyle w:val="108"/>
        <w:spacing w:before="120" w:after="120"/>
      </w:pPr>
      <w:r>
        <w:rPr>
          <w:rFonts w:hint="eastAsia"/>
        </w:rPr>
        <w:t>标准曲线建立</w:t>
      </w:r>
    </w:p>
    <w:p w14:paraId="57CEB39F">
      <w:pPr>
        <w:pStyle w:val="168"/>
      </w:pPr>
      <w:r>
        <w:rPr>
          <w:rFonts w:hint="eastAsia"/>
        </w:rPr>
        <w:t>将</w:t>
      </w:r>
      <w:r>
        <w:t>已知浓度的肺炎支原体Ig</w:t>
      </w:r>
      <w:r>
        <w:rPr>
          <w:rFonts w:hint="eastAsia"/>
        </w:rPr>
        <w:t>M</w:t>
      </w:r>
      <w:r>
        <w:t>/Ig</w:t>
      </w:r>
      <w:r>
        <w:rPr>
          <w:rFonts w:hint="eastAsia"/>
        </w:rPr>
        <w:t>G校准品（7</w:t>
      </w:r>
      <w:r>
        <w:t>.2</w:t>
      </w:r>
      <w:r>
        <w:rPr>
          <w:rFonts w:hint="eastAsia"/>
        </w:rPr>
        <w:t>）放入全自动化学发光测定仪（6</w:t>
      </w:r>
      <w:r>
        <w:t>.1</w:t>
      </w:r>
      <w:r>
        <w:rPr>
          <w:rFonts w:hint="eastAsia"/>
        </w:rPr>
        <w:t>）</w:t>
      </w:r>
      <w:r>
        <w:t>，</w:t>
      </w:r>
      <w:r>
        <w:rPr>
          <w:rFonts w:hint="eastAsia"/>
        </w:rPr>
        <w:t>选择需要校准的项目并启动，仪器按检测步骤进行校准，记录RLU。</w:t>
      </w:r>
    </w:p>
    <w:p w14:paraId="7C02C6DC">
      <w:pPr>
        <w:pStyle w:val="168"/>
      </w:pPr>
      <w:r>
        <w:rPr>
          <w:rFonts w:hint="eastAsia"/>
        </w:rPr>
        <w:t>IgM测试CAL1、CAL2两个浓度校准品（7</w:t>
      </w:r>
      <w:r>
        <w:t>.2</w:t>
      </w:r>
      <w:r>
        <w:rPr>
          <w:rFonts w:hint="eastAsia"/>
        </w:rPr>
        <w:t>），每个浓度测2次，取RLU均值。</w:t>
      </w:r>
    </w:p>
    <w:p w14:paraId="466B7452">
      <w:pPr>
        <w:pStyle w:val="168"/>
      </w:pPr>
      <w:r>
        <w:rPr>
          <w:rFonts w:hint="eastAsia"/>
        </w:rPr>
        <w:t>IgG测试CAL1、CAL2、CAL3三个浓度校准品（7</w:t>
      </w:r>
      <w:r>
        <w:t>.2</w:t>
      </w:r>
      <w:r>
        <w:rPr>
          <w:rFonts w:hint="eastAsia"/>
        </w:rPr>
        <w:t>）的RLU，以浓度为横坐标，RLU为纵坐标，并结合试剂盒的主校准曲线进行绘制校准曲线。</w:t>
      </w:r>
    </w:p>
    <w:p w14:paraId="40DAFE7C">
      <w:pPr>
        <w:pStyle w:val="182"/>
      </w:pPr>
      <w:r>
        <w:rPr>
          <w:rFonts w:hint="eastAsia"/>
        </w:rPr>
        <w:t>新批号试剂启用时、超过试剂厂商声明的校准效期后、质控失控后、仪器维修后均进行校准。不同批号试剂使用配套校准品，不混用。</w:t>
      </w:r>
    </w:p>
    <w:p w14:paraId="32D7F219">
      <w:pPr>
        <w:pStyle w:val="108"/>
        <w:spacing w:before="120" w:after="120"/>
      </w:pPr>
      <w:r>
        <w:rPr>
          <w:rFonts w:hint="eastAsia"/>
        </w:rPr>
        <w:t>检测步骤</w:t>
      </w:r>
    </w:p>
    <w:p w14:paraId="707809F8">
      <w:pPr>
        <w:pStyle w:val="59"/>
        <w:ind w:firstLine="420"/>
      </w:pPr>
      <w:r>
        <w:rPr>
          <w:rFonts w:hint="eastAsia"/>
        </w:rPr>
        <w:t>将样品放入全自动化学发光测定仪（6</w:t>
      </w:r>
      <w:r>
        <w:t>.1</w:t>
      </w:r>
      <w:r>
        <w:rPr>
          <w:rFonts w:hint="eastAsia"/>
        </w:rPr>
        <w:t>），并按以下步骤自动进行分析：</w:t>
      </w:r>
    </w:p>
    <w:p w14:paraId="6C6C1112">
      <w:pPr>
        <w:pStyle w:val="177"/>
      </w:pPr>
      <w:r>
        <w:rPr>
          <w:rFonts w:hint="eastAsia"/>
        </w:rPr>
        <w:t>加样与第一次孵育：将5</w:t>
      </w:r>
      <w:r>
        <w:rPr>
          <w:vertAlign w:val="superscript"/>
        </w:rPr>
        <w:t xml:space="preserve"> </w:t>
      </w:r>
      <w:r>
        <w:rPr>
          <w:rFonts w:hint="eastAsia" w:hAnsi="宋体"/>
        </w:rPr>
        <w:t>µL</w:t>
      </w:r>
      <w:r>
        <w:rPr>
          <w:rFonts w:hint="eastAsia"/>
        </w:rPr>
        <w:t>样本与</w:t>
      </w:r>
      <w:r>
        <w:t>95</w:t>
      </w:r>
      <w:r>
        <w:rPr>
          <w:vertAlign w:val="superscript"/>
        </w:rPr>
        <w:t xml:space="preserve"> </w:t>
      </w:r>
      <w:r>
        <w:rPr>
          <w:rFonts w:hint="eastAsia" w:hAnsi="宋体"/>
        </w:rPr>
        <w:t>µL</w:t>
      </w:r>
      <w:r>
        <w:rPr>
          <w:rFonts w:hint="eastAsia"/>
        </w:rPr>
        <w:t>样本稀释液（R3）（7</w:t>
      </w:r>
      <w:r>
        <w:t>.2</w:t>
      </w:r>
      <w:r>
        <w:rPr>
          <w:rFonts w:hint="eastAsia"/>
        </w:rPr>
        <w:t>）、</w:t>
      </w:r>
      <w:r>
        <w:t>50</w:t>
      </w:r>
      <w:r>
        <w:rPr>
          <w:vertAlign w:val="superscript"/>
        </w:rPr>
        <w:t xml:space="preserve"> </w:t>
      </w:r>
      <w:r>
        <w:rPr>
          <w:rFonts w:hint="eastAsia" w:hAnsi="宋体"/>
        </w:rPr>
        <w:t>µL</w:t>
      </w:r>
      <w:r>
        <w:rPr>
          <w:rFonts w:hint="eastAsia"/>
        </w:rPr>
        <w:t>包被有肺炎支原体抗原的磁微粒（R1）（7</w:t>
      </w:r>
      <w:r>
        <w:t>.2</w:t>
      </w:r>
      <w:r>
        <w:rPr>
          <w:rFonts w:hint="eastAsia"/>
        </w:rPr>
        <w:t>）混合并37</w:t>
      </w:r>
      <w:r>
        <w:rPr>
          <w:vertAlign w:val="superscript"/>
        </w:rPr>
        <w:t xml:space="preserve"> </w:t>
      </w:r>
      <w:r>
        <w:rPr>
          <w:rFonts w:hint="eastAsia"/>
        </w:rPr>
        <w:t>℃孵育</w:t>
      </w:r>
      <w:bookmarkStart w:id="43" w:name="OLE_LINK1"/>
      <w:r>
        <w:t>10</w:t>
      </w:r>
      <w:r>
        <w:rPr>
          <w:vertAlign w:val="superscript"/>
        </w:rPr>
        <w:t xml:space="preserve"> </w:t>
      </w:r>
      <w:r>
        <w:t>min</w:t>
      </w:r>
      <w:bookmarkEnd w:id="43"/>
      <w:r>
        <w:rPr>
          <w:rFonts w:hint="eastAsia"/>
        </w:rPr>
        <w:t>，，形成抗原-抗体复合物。</w:t>
      </w:r>
    </w:p>
    <w:p w14:paraId="585F2A15">
      <w:pPr>
        <w:pStyle w:val="177"/>
      </w:pPr>
      <w:r>
        <w:rPr>
          <w:rFonts w:hint="eastAsia"/>
        </w:rPr>
        <w:t>分离与清洗：在磁场作用下，磁微粒被吸附并固定，清洗液（7</w:t>
      </w:r>
      <w:r>
        <w:t>.2</w:t>
      </w:r>
      <w:r>
        <w:rPr>
          <w:rFonts w:hint="eastAsia"/>
        </w:rPr>
        <w:t>）清除未结合的物质。</w:t>
      </w:r>
    </w:p>
    <w:p w14:paraId="736E9776">
      <w:pPr>
        <w:pStyle w:val="177"/>
      </w:pPr>
      <w:r>
        <w:rPr>
          <w:rFonts w:hint="eastAsia"/>
        </w:rPr>
        <w:t>加样与第二次孵育：加入</w:t>
      </w:r>
      <w:r>
        <w:t>100</w:t>
      </w:r>
      <w:r>
        <w:rPr>
          <w:vertAlign w:val="superscript"/>
        </w:rPr>
        <w:t xml:space="preserve"> </w:t>
      </w:r>
      <w:r>
        <w:rPr>
          <w:rFonts w:hint="eastAsia" w:hAnsi="宋体"/>
        </w:rPr>
        <w:t>µL</w:t>
      </w:r>
      <w:r>
        <w:rPr>
          <w:rFonts w:hint="eastAsia"/>
        </w:rPr>
        <w:t>吖啶酯标记的鼠抗人IgM/IgG抗体（R2）（7</w:t>
      </w:r>
      <w:r>
        <w:t>.2</w:t>
      </w:r>
      <w:r>
        <w:rPr>
          <w:rFonts w:hint="eastAsia"/>
        </w:rPr>
        <w:t>）并37</w:t>
      </w:r>
      <w:r>
        <w:rPr>
          <w:vertAlign w:val="superscript"/>
        </w:rPr>
        <w:t xml:space="preserve"> </w:t>
      </w:r>
      <w:r>
        <w:rPr>
          <w:rFonts w:hint="eastAsia"/>
        </w:rPr>
        <w:t>℃孵育10</w:t>
      </w:r>
      <w:r>
        <w:rPr>
          <w:vertAlign w:val="superscript"/>
        </w:rPr>
        <w:t xml:space="preserve"> </w:t>
      </w:r>
      <w:r>
        <w:rPr>
          <w:rFonts w:hint="eastAsia"/>
        </w:rPr>
        <w:t>min，形成“抗原-抗体-标记二抗”的复合物。</w:t>
      </w:r>
    </w:p>
    <w:p w14:paraId="32AC3D18">
      <w:pPr>
        <w:pStyle w:val="177"/>
      </w:pPr>
      <w:r>
        <w:rPr>
          <w:rFonts w:hint="eastAsia"/>
        </w:rPr>
        <w:t>分离与清洗：再次进行磁性分离与清洗，去除游离的标记抗体。</w:t>
      </w:r>
    </w:p>
    <w:p w14:paraId="76EB2841">
      <w:pPr>
        <w:pStyle w:val="177"/>
      </w:pPr>
      <w:r>
        <w:rPr>
          <w:rFonts w:hint="eastAsia"/>
        </w:rPr>
        <w:t>信号激发与检测：依次加入100</w:t>
      </w:r>
      <w:r>
        <w:rPr>
          <w:vertAlign w:val="superscript"/>
        </w:rPr>
        <w:t xml:space="preserve"> </w:t>
      </w:r>
      <w:r>
        <w:rPr>
          <w:rFonts w:hint="eastAsia" w:hAnsi="宋体"/>
        </w:rPr>
        <w:t>µL</w:t>
      </w:r>
      <w:r>
        <w:rPr>
          <w:rFonts w:hint="eastAsia"/>
        </w:rPr>
        <w:t>预激发液（7</w:t>
      </w:r>
      <w:r>
        <w:t>.2</w:t>
      </w:r>
      <w:r>
        <w:rPr>
          <w:rFonts w:hint="eastAsia"/>
        </w:rPr>
        <w:t>）与200</w:t>
      </w:r>
      <w:r>
        <w:rPr>
          <w:vertAlign w:val="superscript"/>
        </w:rPr>
        <w:t xml:space="preserve"> </w:t>
      </w:r>
      <w:r>
        <w:rPr>
          <w:rFonts w:hint="eastAsia" w:hAnsi="宋体"/>
        </w:rPr>
        <w:t>µL</w:t>
      </w:r>
      <w:r>
        <w:rPr>
          <w:rFonts w:hint="eastAsia"/>
        </w:rPr>
        <w:t>激发液（7</w:t>
      </w:r>
      <w:r>
        <w:t>.2</w:t>
      </w:r>
      <w:r>
        <w:rPr>
          <w:rFonts w:hint="eastAsia"/>
        </w:rPr>
        <w:t>），化学发光系统测定反应产生的RLU。</w:t>
      </w:r>
    </w:p>
    <w:p w14:paraId="5F512E6B">
      <w:pPr>
        <w:pStyle w:val="108"/>
        <w:spacing w:before="120" w:after="120"/>
      </w:pPr>
      <w:r>
        <w:rPr>
          <w:rFonts w:hint="eastAsia"/>
        </w:rPr>
        <w:t>数据处理</w:t>
      </w:r>
    </w:p>
    <w:p w14:paraId="7185A88A">
      <w:pPr>
        <w:pStyle w:val="59"/>
        <w:ind w:firstLine="420"/>
      </w:pPr>
      <w:r>
        <w:rPr>
          <w:rFonts w:hint="eastAsia"/>
        </w:rPr>
        <w:t>使用软件将样本测得的RLU值代入由校准品（CAL1，CAL2、CAL3）建立的标准曲线，计算出样本中肺炎支原体IgM/IgG抗体的浓度。按</w:t>
      </w:r>
      <w:r>
        <w:t>式</w:t>
      </w:r>
      <w:r>
        <w:rPr>
          <w:rFonts w:hint="eastAsia"/>
        </w:rPr>
        <w:t>（1）计算I</w:t>
      </w:r>
      <w:r>
        <w:t>g</w:t>
      </w:r>
      <w:r>
        <w:rPr>
          <w:rFonts w:hint="eastAsia"/>
        </w:rPr>
        <w:t>M浓度；通过绘制的标准曲线，依据测定的RLU强度，确定IgG浓度。</w:t>
      </w:r>
    </w:p>
    <w:p w14:paraId="4426D81C">
      <w:pPr>
        <w:pStyle w:val="59"/>
        <w:ind w:firstLine="420"/>
      </w:pPr>
    </w:p>
    <w:p w14:paraId="4620D794">
      <w:pPr>
        <w:pStyle w:val="116"/>
      </w:pPr>
      <w:r>
        <w:tab/>
      </w:r>
      <m:oMath>
        <m:r>
          <m:rPr/>
          <w:rPr>
            <w:rFonts w:ascii="Cambria Math" w:hAnsi="Cambria Math"/>
          </w:rPr>
          <m:t>COI</m:t>
        </m:r>
        <m:r>
          <m:rPr>
            <m:sty m:val="p"/>
          </m:rPr>
          <w:rPr>
            <w:rFonts w:ascii="Cambria Math" w:hAnsi="Cambria Math"/>
          </w:rPr>
          <m:t>=</m:t>
        </m:r>
        <m:f>
          <m:fPr>
            <m:ctrlPr>
              <w:rPr>
                <w:rFonts w:ascii="Cambria Math" w:hAnsi="Cambria Math"/>
              </w:rPr>
            </m:ctrlPr>
          </m:fPr>
          <m:num>
            <m:r>
              <m:rPr/>
              <w:rPr>
                <w:rFonts w:ascii="Cambria Math" w:hAnsi="Cambria Math"/>
              </w:rPr>
              <m:t>RLU×M</m:t>
            </m:r>
            <m:ctrlPr>
              <w:rPr>
                <w:rFonts w:ascii="Cambria Math" w:hAnsi="Cambria Math"/>
              </w:rPr>
            </m:ctrlPr>
          </m:num>
          <m:den>
            <m:r>
              <m:rPr>
                <m:sty m:val="p"/>
              </m:rPr>
              <w:rPr>
                <w:rFonts w:ascii="Cambria Math" w:hAnsi="Cambria Math"/>
              </w:rPr>
              <m:t>A×</m:t>
            </m:r>
            <m:sSub>
              <m:sSubPr>
                <m:ctrlPr>
                  <w:rPr>
                    <w:rFonts w:ascii="Cambria Math" w:hAnsi="Cambria Math"/>
                  </w:rPr>
                </m:ctrlPr>
              </m:sSubPr>
              <m:e>
                <m:r>
                  <m:rPr/>
                  <w:rPr>
                    <w:rFonts w:ascii="Cambria Math" w:hAnsi="Cambria Math"/>
                  </w:rPr>
                  <m:t>RLU</m:t>
                </m:r>
                <m:ctrlPr>
                  <w:rPr>
                    <w:rFonts w:ascii="Cambria Math" w:hAnsi="Cambria Math"/>
                  </w:rPr>
                </m:ctrlPr>
              </m:e>
              <m:sub>
                <m:r>
                  <m:rPr/>
                  <w:rPr>
                    <w:rFonts w:ascii="Cambria Math" w:hAnsi="Cambria Math"/>
                  </w:rPr>
                  <m:t>c0</m:t>
                </m:r>
                <m:ctrlPr>
                  <w:rPr>
                    <w:rFonts w:ascii="Cambria Math" w:hAnsi="Cambria Math"/>
                  </w:rPr>
                </m:ctrlPr>
              </m:sub>
            </m:sSub>
            <m:r>
              <m:rPr/>
              <w:rPr>
                <w:rFonts w:ascii="Cambria Math" w:hAnsi="Cambria Math"/>
              </w:rPr>
              <m:t>+B×</m:t>
            </m:r>
            <m:sSub>
              <m:sSubPr>
                <m:ctrlPr>
                  <w:rPr>
                    <w:rFonts w:ascii="Cambria Math" w:hAnsi="Cambria Math"/>
                    <w:i/>
                  </w:rPr>
                </m:ctrlPr>
              </m:sSubPr>
              <m:e>
                <m:r>
                  <m:rPr/>
                  <w:rPr>
                    <w:rFonts w:ascii="Cambria Math" w:hAnsi="Cambria Math"/>
                  </w:rPr>
                  <m:t>RLU</m:t>
                </m:r>
                <m:ctrlPr>
                  <w:rPr>
                    <w:rFonts w:ascii="Cambria Math" w:hAnsi="Cambria Math"/>
                    <w:i/>
                  </w:rPr>
                </m:ctrlPr>
              </m:e>
              <m:sub>
                <m:r>
                  <m:rPr/>
                  <w:rPr>
                    <w:rFonts w:ascii="Cambria Math" w:hAnsi="Cambria Math"/>
                  </w:rPr>
                  <m:t>c1</m:t>
                </m:r>
                <m:ctrlPr>
                  <w:rPr>
                    <w:rFonts w:ascii="Cambria Math" w:hAnsi="Cambria Math"/>
                    <w:i/>
                  </w:rPr>
                </m:ctrlPr>
              </m:sub>
            </m:sSub>
            <m:r>
              <m:rPr/>
              <w:rPr>
                <w:rFonts w:ascii="Cambria Math" w:hAnsi="Cambria Math"/>
              </w:rPr>
              <m:t>+C</m:t>
            </m:r>
            <m:ctrlPr>
              <w:rPr>
                <w:rFonts w:ascii="Cambria Math" w:hAnsi="Cambria Math"/>
              </w:rPr>
            </m:ctrlPr>
          </m:den>
        </m:f>
      </m:oMath>
      <w:r>
        <w:rPr>
          <w:rFonts w:ascii="微软雅黑" w:hAnsi="微软雅黑" w:eastAsia="微软雅黑"/>
        </w:rPr>
        <w:tab/>
      </w:r>
      <w:r>
        <w:t>(</w:t>
      </w:r>
      <w:r>
        <w:fldChar w:fldCharType="begin"/>
      </w:r>
      <w:r>
        <w:instrText xml:space="preserve"> AUTONUM </w:instrText>
      </w:r>
      <w:r>
        <w:fldChar w:fldCharType="end"/>
      </w:r>
      <w:r>
        <w:t>)</w:t>
      </w:r>
    </w:p>
    <w:p w14:paraId="2BF1E3FC">
      <w:pPr>
        <w:pStyle w:val="58"/>
        <w:ind w:firstLine="420"/>
      </w:pPr>
      <w:r>
        <w:rPr>
          <w:rFonts w:hint="eastAsia"/>
        </w:rPr>
        <w:t>式中：</w:t>
      </w:r>
    </w:p>
    <w:p w14:paraId="29E5638B">
      <w:pPr>
        <w:pStyle w:val="59"/>
        <w:ind w:firstLine="420"/>
      </w:pPr>
      <w:r>
        <w:t xml:space="preserve">COI </w:t>
      </w:r>
      <w:r>
        <w:rPr>
          <w:rFonts w:ascii="Times New Roman"/>
        </w:rPr>
        <w:t>——</w:t>
      </w:r>
      <w:r>
        <w:rPr>
          <w:rFonts w:hint="eastAsia"/>
        </w:rPr>
        <w:t>I</w:t>
      </w:r>
      <w:r>
        <w:t>g</w:t>
      </w:r>
      <w:r>
        <w:rPr>
          <w:rFonts w:hint="eastAsia"/>
        </w:rPr>
        <w:t>M浓度；</w:t>
      </w:r>
    </w:p>
    <w:p w14:paraId="708365C1">
      <w:pPr>
        <w:pStyle w:val="59"/>
        <w:ind w:firstLine="420"/>
      </w:pPr>
      <w:r>
        <w:rPr>
          <w:rFonts w:hint="eastAsia"/>
        </w:rPr>
        <w:t>RLU</w:t>
      </w:r>
      <w:r>
        <w:t xml:space="preserve"> </w:t>
      </w:r>
      <w:r>
        <w:rPr>
          <w:rFonts w:ascii="Times New Roman"/>
        </w:rPr>
        <w:t>——</w:t>
      </w:r>
      <w:r>
        <w:rPr>
          <w:rFonts w:hint="eastAsia" w:ascii="Times New Roman"/>
        </w:rPr>
        <w:t>样品</w:t>
      </w:r>
      <w:r>
        <w:rPr>
          <w:rFonts w:hint="eastAsia"/>
        </w:rPr>
        <w:t>相对发光强度，单位为坎德拉（</w:t>
      </w:r>
      <w:r>
        <w:t>cd</w:t>
      </w:r>
      <w:r>
        <w:rPr>
          <w:rFonts w:hint="eastAsia"/>
        </w:rPr>
        <w:t>）；</w:t>
      </w:r>
    </w:p>
    <w:p w14:paraId="0B683F8D">
      <w:pPr>
        <w:pStyle w:val="59"/>
        <w:ind w:firstLine="420"/>
      </w:pPr>
      <w:r>
        <w:t xml:space="preserve">M   </w:t>
      </w:r>
      <w:r>
        <w:rPr>
          <w:rFonts w:ascii="Times New Roman"/>
        </w:rPr>
        <w:t>——</w:t>
      </w:r>
      <w:r>
        <w:rPr>
          <w:rFonts w:hint="eastAsia"/>
        </w:rPr>
        <w:t>样本检测</w:t>
      </w:r>
      <w:r>
        <w:t>浓度系数</w:t>
      </w:r>
      <w:r>
        <w:rPr>
          <w:rFonts w:hint="eastAsia"/>
        </w:rPr>
        <w:t>；</w:t>
      </w:r>
    </w:p>
    <w:p w14:paraId="0F6DF0BB">
      <w:pPr>
        <w:pStyle w:val="59"/>
        <w:ind w:firstLine="420"/>
      </w:pPr>
      <w:r>
        <w:rPr>
          <w:rFonts w:hint="eastAsia"/>
        </w:rPr>
        <w:t>A</w:t>
      </w:r>
      <w:r>
        <w:t xml:space="preserve">   </w:t>
      </w:r>
      <w:r>
        <w:rPr>
          <w:rFonts w:ascii="Times New Roman"/>
        </w:rPr>
        <w:t>——</w:t>
      </w:r>
      <w:r>
        <w:rPr>
          <w:rFonts w:hint="eastAsia"/>
        </w:rPr>
        <w:t>CAL1对应系数；</w:t>
      </w:r>
    </w:p>
    <w:p w14:paraId="228D90C4">
      <w:pPr>
        <w:pStyle w:val="59"/>
        <w:ind w:firstLine="420"/>
      </w:pPr>
      <w:r>
        <w:rPr>
          <w:rFonts w:hint="eastAsia"/>
        </w:rPr>
        <w:t>RLU</w:t>
      </w:r>
      <w:r>
        <w:rPr>
          <w:rFonts w:hint="eastAsia"/>
          <w:vertAlign w:val="subscript"/>
        </w:rPr>
        <w:t>C0</w:t>
      </w:r>
      <w:r>
        <w:rPr>
          <w:rFonts w:ascii="Times New Roman"/>
        </w:rPr>
        <w:t>——</w:t>
      </w:r>
      <w:r>
        <w:rPr>
          <w:rFonts w:hint="eastAsia"/>
        </w:rPr>
        <w:t>CAL1相对发光强度，单位为坎德拉（</w:t>
      </w:r>
      <w:r>
        <w:t>cd</w:t>
      </w:r>
      <w:r>
        <w:rPr>
          <w:rFonts w:hint="eastAsia"/>
        </w:rPr>
        <w:t>）；</w:t>
      </w:r>
    </w:p>
    <w:p w14:paraId="4068789A">
      <w:pPr>
        <w:pStyle w:val="59"/>
        <w:ind w:firstLine="420"/>
      </w:pPr>
      <w:r>
        <w:rPr>
          <w:rFonts w:hint="eastAsia"/>
        </w:rPr>
        <w:t>B</w:t>
      </w:r>
      <w:r>
        <w:t xml:space="preserve">   </w:t>
      </w:r>
      <w:r>
        <w:rPr>
          <w:rFonts w:ascii="Times New Roman"/>
        </w:rPr>
        <w:t>——</w:t>
      </w:r>
      <w:r>
        <w:rPr>
          <w:rFonts w:hint="eastAsia"/>
        </w:rPr>
        <w:t>CAL2对应系数；</w:t>
      </w:r>
    </w:p>
    <w:p w14:paraId="6F9429FA">
      <w:pPr>
        <w:pStyle w:val="59"/>
        <w:ind w:firstLine="420"/>
      </w:pPr>
      <w:r>
        <w:rPr>
          <w:rFonts w:hint="eastAsia"/>
        </w:rPr>
        <w:t>RLU</w:t>
      </w:r>
      <w:r>
        <w:rPr>
          <w:rFonts w:hint="eastAsia"/>
          <w:vertAlign w:val="subscript"/>
        </w:rPr>
        <w:t>C1</w:t>
      </w:r>
      <w:r>
        <w:rPr>
          <w:rFonts w:ascii="Times New Roman"/>
        </w:rPr>
        <w:t>——</w:t>
      </w:r>
      <w:r>
        <w:rPr>
          <w:rFonts w:hint="eastAsia"/>
        </w:rPr>
        <w:t>CAL2相对发光强度，单位为坎德拉（</w:t>
      </w:r>
      <w:r>
        <w:t>cd</w:t>
      </w:r>
      <w:r>
        <w:rPr>
          <w:rFonts w:hint="eastAsia"/>
        </w:rPr>
        <w:t>）；</w:t>
      </w:r>
    </w:p>
    <w:p w14:paraId="2A34D645">
      <w:pPr>
        <w:pStyle w:val="59"/>
        <w:ind w:firstLine="420"/>
      </w:pPr>
      <w:r>
        <w:rPr>
          <w:rFonts w:hint="eastAsia"/>
        </w:rPr>
        <w:t>C</w:t>
      </w:r>
      <w:r>
        <w:t xml:space="preserve">   </w:t>
      </w:r>
      <w:r>
        <w:rPr>
          <w:rFonts w:ascii="Times New Roman"/>
        </w:rPr>
        <w:t>——</w:t>
      </w:r>
      <w:r>
        <w:rPr>
          <w:rFonts w:hint="eastAsia"/>
        </w:rPr>
        <w:t>常数</w:t>
      </w:r>
      <w:r>
        <w:t>0</w:t>
      </w:r>
      <w:r>
        <w:rPr>
          <w:rFonts w:hint="eastAsia"/>
        </w:rPr>
        <w:t>。</w:t>
      </w:r>
    </w:p>
    <w:p w14:paraId="29BBFBA0">
      <w:pPr>
        <w:pStyle w:val="59"/>
        <w:ind w:firstLine="420"/>
      </w:pPr>
      <w:r>
        <w:rPr>
          <w:rFonts w:hint="eastAsia"/>
        </w:rPr>
        <w:t>结果保留小数点后一位。</w:t>
      </w:r>
    </w:p>
    <w:p w14:paraId="044080E8">
      <w:pPr>
        <w:pStyle w:val="59"/>
        <w:ind w:firstLine="420"/>
      </w:pPr>
    </w:p>
    <w:p w14:paraId="4FDBB494">
      <w:pPr>
        <w:pStyle w:val="107"/>
        <w:spacing w:before="240" w:after="240"/>
      </w:pPr>
      <w:r>
        <w:rPr>
          <w:rFonts w:hint="eastAsia"/>
        </w:rPr>
        <w:t>结果判定</w:t>
      </w:r>
    </w:p>
    <w:p w14:paraId="375E6315">
      <w:pPr>
        <w:pStyle w:val="108"/>
        <w:spacing w:before="120" w:after="120"/>
      </w:pPr>
      <w:r>
        <w:rPr>
          <w:rFonts w:hint="eastAsia"/>
        </w:rPr>
        <w:t>肺炎支原体IgM结果判定</w:t>
      </w:r>
    </w:p>
    <w:p w14:paraId="3382A8B0">
      <w:pPr>
        <w:pStyle w:val="168"/>
      </w:pPr>
      <w:r>
        <w:rPr>
          <w:rFonts w:hint="eastAsia" w:hAnsi="宋体" w:cs="宋体"/>
          <w:szCs w:val="24"/>
          <w:u w:val="single" w:color="FFFFFF" w:themeColor="background1"/>
        </w:rPr>
        <w:t>COI＜0.9时，视为</w:t>
      </w:r>
      <w:r>
        <w:rPr>
          <w:rFonts w:hint="eastAsia"/>
        </w:rPr>
        <w:t>无反应性，提示未感染、感染早期或恢复期。</w:t>
      </w:r>
    </w:p>
    <w:p w14:paraId="6FF91C25">
      <w:pPr>
        <w:pStyle w:val="168"/>
      </w:pPr>
      <w:r>
        <w:rPr>
          <w:rFonts w:hint="eastAsia" w:hAnsi="宋体" w:cs="宋体"/>
          <w:szCs w:val="24"/>
          <w:u w:val="single" w:color="FFFFFF" w:themeColor="background1"/>
        </w:rPr>
        <w:t>0.9≤COI＜1.1时，视为</w:t>
      </w:r>
      <w:r>
        <w:rPr>
          <w:rFonts w:hint="eastAsia"/>
        </w:rPr>
        <w:t>灰区，建议复检或动态监测抗体变化。</w:t>
      </w:r>
    </w:p>
    <w:p w14:paraId="21E088EB">
      <w:pPr>
        <w:pStyle w:val="168"/>
      </w:pPr>
      <w:r>
        <w:rPr>
          <w:rFonts w:hint="eastAsia" w:hAnsi="宋体" w:cs="宋体"/>
          <w:szCs w:val="24"/>
          <w:u w:val="single" w:color="FFFFFF" w:themeColor="background1"/>
        </w:rPr>
        <w:t>COI≥1.1时，视为</w:t>
      </w:r>
      <w:r>
        <w:rPr>
          <w:rFonts w:hint="eastAsia"/>
        </w:rPr>
        <w:t>有反应性，提示近期感染（急性感染）。</w:t>
      </w:r>
    </w:p>
    <w:p w14:paraId="7592F351">
      <w:pPr>
        <w:pStyle w:val="108"/>
        <w:spacing w:before="120" w:after="120"/>
      </w:pPr>
      <w:r>
        <w:rPr>
          <w:rFonts w:hint="eastAsia"/>
        </w:rPr>
        <w:t>肺炎支原体IgG结果判定</w:t>
      </w:r>
    </w:p>
    <w:p w14:paraId="02167BB7">
      <w:pPr>
        <w:pStyle w:val="168"/>
      </w:pPr>
      <w:r>
        <w:rPr>
          <w:rFonts w:hint="eastAsia"/>
        </w:rPr>
        <w:t>样本浓度</w:t>
      </w:r>
      <w:r>
        <w:rPr>
          <w:rFonts w:hint="eastAsia" w:hAnsi="宋体" w:cs="宋体"/>
          <w:szCs w:val="24"/>
          <w:u w:val="single" w:color="FFFFFF" w:themeColor="background1"/>
        </w:rPr>
        <w:t>＜24.0</w:t>
      </w:r>
      <w:r>
        <w:rPr>
          <w:rFonts w:hAnsi="宋体" w:cs="宋体"/>
          <w:szCs w:val="24"/>
          <w:u w:val="single" w:color="FFFFFF" w:themeColor="background1"/>
          <w:vertAlign w:val="superscript"/>
        </w:rPr>
        <w:t xml:space="preserve"> </w:t>
      </w:r>
      <w:r>
        <w:rPr>
          <w:rFonts w:hint="eastAsia" w:hAnsi="宋体" w:cs="宋体"/>
          <w:szCs w:val="24"/>
          <w:u w:val="single" w:color="FFFFFF" w:themeColor="background1"/>
        </w:rPr>
        <w:t>AU/mL时，视为</w:t>
      </w:r>
      <w:r>
        <w:rPr>
          <w:rFonts w:hint="eastAsia"/>
        </w:rPr>
        <w:t>无反应性，提示未感染、感染早期或潜伏期。</w:t>
      </w:r>
    </w:p>
    <w:p w14:paraId="1C3682B4">
      <w:pPr>
        <w:pStyle w:val="168"/>
      </w:pPr>
      <w:r>
        <w:rPr>
          <w:rFonts w:hint="eastAsia" w:hAnsi="宋体" w:cs="宋体"/>
          <w:szCs w:val="24"/>
          <w:u w:val="single" w:color="FFFFFF" w:themeColor="background1"/>
        </w:rPr>
        <w:t>24.0</w:t>
      </w:r>
      <w:r>
        <w:rPr>
          <w:rFonts w:hAnsi="宋体" w:cs="宋体"/>
          <w:szCs w:val="24"/>
          <w:u w:val="single" w:color="FFFFFF" w:themeColor="background1"/>
          <w:vertAlign w:val="superscript"/>
        </w:rPr>
        <w:t xml:space="preserve"> </w:t>
      </w:r>
      <w:r>
        <w:rPr>
          <w:rFonts w:hint="eastAsia" w:hAnsi="宋体" w:cs="宋体"/>
          <w:szCs w:val="24"/>
          <w:u w:val="single" w:color="FFFFFF" w:themeColor="background1"/>
        </w:rPr>
        <w:t>AU/mL≤</w:t>
      </w:r>
      <w:r>
        <w:rPr>
          <w:rFonts w:hint="eastAsia"/>
        </w:rPr>
        <w:t>样本浓度</w:t>
      </w:r>
      <w:r>
        <w:rPr>
          <w:rFonts w:hint="eastAsia" w:hAnsi="宋体" w:cs="宋体"/>
          <w:szCs w:val="24"/>
          <w:u w:val="single" w:color="FFFFFF" w:themeColor="background1"/>
        </w:rPr>
        <w:t>＜36.0</w:t>
      </w:r>
      <w:r>
        <w:rPr>
          <w:rFonts w:hAnsi="宋体" w:cs="宋体"/>
          <w:szCs w:val="24"/>
          <w:u w:val="single" w:color="FFFFFF" w:themeColor="background1"/>
          <w:vertAlign w:val="superscript"/>
        </w:rPr>
        <w:t xml:space="preserve"> </w:t>
      </w:r>
      <w:r>
        <w:rPr>
          <w:rFonts w:hint="eastAsia" w:hAnsi="宋体" w:cs="宋体"/>
          <w:szCs w:val="24"/>
          <w:u w:val="single" w:color="FFFFFF" w:themeColor="background1"/>
        </w:rPr>
        <w:t>AU/mL时，视为</w:t>
      </w:r>
      <w:r>
        <w:rPr>
          <w:rFonts w:hint="eastAsia"/>
        </w:rPr>
        <w:t>灰区，建议复检或动态监测抗体变化。</w:t>
      </w:r>
    </w:p>
    <w:p w14:paraId="015AD3BA">
      <w:pPr>
        <w:pStyle w:val="168"/>
        <w:tabs>
          <w:tab w:val="left" w:pos="756"/>
        </w:tabs>
      </w:pPr>
      <w:r>
        <w:rPr>
          <w:rFonts w:hint="eastAsia"/>
        </w:rPr>
        <w:t>样本浓度</w:t>
      </w:r>
      <w:r>
        <w:rPr>
          <w:rFonts w:hint="eastAsia" w:hAnsi="宋体" w:cs="宋体"/>
          <w:szCs w:val="24"/>
          <w:u w:val="single" w:color="FFFFFF" w:themeColor="background1"/>
        </w:rPr>
        <w:t>≥36.0</w:t>
      </w:r>
      <w:r>
        <w:rPr>
          <w:rFonts w:hAnsi="宋体" w:cs="宋体"/>
          <w:szCs w:val="24"/>
          <w:u w:val="single" w:color="FFFFFF" w:themeColor="background1"/>
          <w:vertAlign w:val="superscript"/>
        </w:rPr>
        <w:t xml:space="preserve"> </w:t>
      </w:r>
      <w:r>
        <w:rPr>
          <w:rFonts w:hint="eastAsia" w:hAnsi="宋体" w:cs="宋体"/>
          <w:szCs w:val="24"/>
          <w:u w:val="single" w:color="FFFFFF" w:themeColor="background1"/>
        </w:rPr>
        <w:t>AU/mL时，视为</w:t>
      </w:r>
      <w:r>
        <w:rPr>
          <w:rFonts w:hint="eastAsia"/>
        </w:rPr>
        <w:t>有反应性，提示既往感染。</w:t>
      </w:r>
    </w:p>
    <w:p w14:paraId="084F38B0">
      <w:pPr>
        <w:pStyle w:val="107"/>
        <w:spacing w:before="240" w:after="240"/>
      </w:pPr>
      <w:r>
        <w:rPr>
          <w:rFonts w:hint="eastAsia"/>
        </w:rPr>
        <w:t>结果解释</w:t>
      </w:r>
    </w:p>
    <w:p w14:paraId="25D4129F">
      <w:pPr>
        <w:pStyle w:val="59"/>
        <w:ind w:firstLine="420"/>
        <w:rPr>
          <w:rFonts w:hint="eastAsia"/>
        </w:rPr>
      </w:pPr>
      <w:r>
        <w:rPr>
          <w:rFonts w:hint="eastAsia"/>
        </w:rPr>
        <w:t>参见附录A。</w:t>
      </w:r>
    </w:p>
    <w:p w14:paraId="45E85E86">
      <w:pPr>
        <w:pStyle w:val="107"/>
        <w:spacing w:before="240" w:after="240"/>
      </w:pPr>
      <w:r>
        <w:rPr>
          <w:rFonts w:hint="eastAsia"/>
        </w:rPr>
        <w:t>质量控制</w:t>
      </w:r>
    </w:p>
    <w:p w14:paraId="681B0C8A">
      <w:pPr>
        <w:pStyle w:val="165"/>
      </w:pPr>
      <w:r>
        <w:rPr>
          <w:rFonts w:hint="eastAsia"/>
        </w:rPr>
        <w:t>吖啶酯原料和试剂应储存在避光、低温的环境中，通常为2</w:t>
      </w:r>
      <w:r>
        <w:rPr>
          <w:vertAlign w:val="subscript"/>
        </w:rPr>
        <w:t xml:space="preserve"> </w:t>
      </w:r>
      <w:r>
        <w:rPr>
          <w:rFonts w:hint="eastAsia"/>
        </w:rPr>
        <w:t>℃～8</w:t>
      </w:r>
      <w:r>
        <w:rPr>
          <w:vertAlign w:val="subscript"/>
        </w:rPr>
        <w:t xml:space="preserve"> </w:t>
      </w:r>
      <w:r>
        <w:rPr>
          <w:rFonts w:hint="eastAsia"/>
        </w:rPr>
        <w:t>℃。所有从低温环境取出的样本、校准品、质控物等，应平衡至室温至少30</w:t>
      </w:r>
      <w:r>
        <w:rPr>
          <w:vertAlign w:val="superscript"/>
        </w:rPr>
        <w:t xml:space="preserve"> </w:t>
      </w:r>
      <w:r>
        <w:rPr>
          <w:rFonts w:hint="eastAsia"/>
        </w:rPr>
        <w:t>min后进行检测。</w:t>
      </w:r>
    </w:p>
    <w:p w14:paraId="39C08D99">
      <w:pPr>
        <w:pStyle w:val="165"/>
      </w:pPr>
      <w:r>
        <w:rPr>
          <w:rFonts w:hint="eastAsia"/>
        </w:rPr>
        <w:t>环境要求：温度在15</w:t>
      </w:r>
      <w:r>
        <w:rPr>
          <w:vertAlign w:val="superscript"/>
        </w:rPr>
        <w:t xml:space="preserve"> </w:t>
      </w:r>
      <w:r>
        <w:rPr>
          <w:rFonts w:hint="eastAsia"/>
        </w:rPr>
        <w:t>℃～35</w:t>
      </w:r>
      <w:r>
        <w:rPr>
          <w:vertAlign w:val="superscript"/>
        </w:rPr>
        <w:t xml:space="preserve"> </w:t>
      </w:r>
      <w:r>
        <w:rPr>
          <w:rFonts w:hint="eastAsia"/>
        </w:rPr>
        <w:t>℃，相对湿度要求在20</w:t>
      </w:r>
      <w:r>
        <w:rPr>
          <w:rFonts w:hint="eastAsia" w:hAnsi="宋体"/>
        </w:rPr>
        <w:t>％</w:t>
      </w:r>
      <w:r>
        <w:rPr>
          <w:rFonts w:hint="eastAsia"/>
        </w:rPr>
        <w:t>～70％RH。</w:t>
      </w:r>
    </w:p>
    <w:p w14:paraId="5165A764">
      <w:pPr>
        <w:pStyle w:val="165"/>
      </w:pPr>
      <w:r>
        <w:rPr>
          <w:rFonts w:hint="eastAsia"/>
        </w:rPr>
        <w:t>生物安全：本文件涉及传染性生物样本（处理可能含病原体的血清/血浆），应在二级生物安全实验室内开展相关操作，配备手套、口罩和实验服等个人防护装备。</w:t>
      </w:r>
    </w:p>
    <w:p w14:paraId="742665B1">
      <w:pPr>
        <w:pStyle w:val="165"/>
      </w:pPr>
      <w:r>
        <w:rPr>
          <w:rFonts w:hint="eastAsia"/>
        </w:rPr>
        <w:t>技术人员：应具备医学</w:t>
      </w:r>
      <w:r>
        <w:t>/</w:t>
      </w:r>
      <w:r>
        <w:rPr>
          <w:rFonts w:hint="eastAsia"/>
        </w:rPr>
        <w:t>检验/生物专业教育背景，取得检验相关资格证书，上岗前应通过培训并考核合格。</w:t>
      </w:r>
    </w:p>
    <w:p w14:paraId="0C77F05B">
      <w:pPr>
        <w:pStyle w:val="165"/>
      </w:pPr>
      <w:r>
        <w:rPr>
          <w:rFonts w:hint="eastAsia"/>
        </w:rPr>
        <w:t>室内质控</w:t>
      </w:r>
      <w:r>
        <w:t>：</w:t>
      </w:r>
      <w:r>
        <w:rPr>
          <w:rFonts w:hint="eastAsia"/>
        </w:rPr>
        <w:t>每个实验室应建立质控均值和可接受的范围，每批次检测样本宜测试一次质控品（7</w:t>
      </w:r>
      <w:r>
        <w:t>.3</w:t>
      </w:r>
      <w:r>
        <w:rPr>
          <w:rFonts w:hint="eastAsia"/>
        </w:rPr>
        <w:t>）。注意每次校准后应测试一次质控品（7</w:t>
      </w:r>
      <w:r>
        <w:t>.3</w:t>
      </w:r>
      <w:r>
        <w:rPr>
          <w:rFonts w:hint="eastAsia"/>
        </w:rPr>
        <w:t>），在控后方可检测样本。使用的商业质控品（7</w:t>
      </w:r>
      <w:r>
        <w:t>.3</w:t>
      </w:r>
      <w:r>
        <w:rPr>
          <w:rFonts w:hint="eastAsia"/>
        </w:rPr>
        <w:t>）或其他合适质控品（7</w:t>
      </w:r>
      <w:r>
        <w:t>.3</w:t>
      </w:r>
      <w:r>
        <w:rPr>
          <w:rFonts w:hint="eastAsia"/>
        </w:rPr>
        <w:t>）应至少包含两个浓度水平（阴性和阳性），在复溶及保存时遵循供应商的规定。质控结果未落在可接受的范围内时，表明测试结果不可信，不应发送临床检测报告，查找并纠正失控原因，实验室应评估失控之前的临床样本检验结果的有效性。</w:t>
      </w:r>
    </w:p>
    <w:p w14:paraId="7BED30B7">
      <w:pPr>
        <w:pStyle w:val="107"/>
        <w:spacing w:before="240" w:after="240"/>
      </w:pPr>
      <w:r>
        <w:rPr>
          <w:rFonts w:hint="eastAsia"/>
        </w:rPr>
        <w:t>验证</w:t>
      </w:r>
    </w:p>
    <w:p w14:paraId="2768BFB3">
      <w:pPr>
        <w:pStyle w:val="59"/>
        <w:ind w:firstLine="420"/>
      </w:pPr>
      <w:r>
        <w:rPr>
          <w:rFonts w:hint="eastAsia"/>
        </w:rPr>
        <w:t>包括试剂检测性能、方法符合率、检出限、重复性（精密度）、抗干扰能力、生物参考区间</w:t>
      </w:r>
      <w:r>
        <w:t>等验证，验证</w:t>
      </w:r>
      <w:r>
        <w:rPr>
          <w:rFonts w:hint="eastAsia"/>
        </w:rPr>
        <w:t>方法见附录</w:t>
      </w:r>
      <w:r>
        <w:t>B</w:t>
      </w:r>
      <w:r>
        <w:rPr>
          <w:rFonts w:hint="eastAsia"/>
        </w:rPr>
        <w:t>。</w:t>
      </w:r>
    </w:p>
    <w:p w14:paraId="359655C5">
      <w:pPr>
        <w:pStyle w:val="107"/>
        <w:spacing w:before="240" w:after="240"/>
      </w:pPr>
      <w:r>
        <w:rPr>
          <w:rFonts w:hint="eastAsia"/>
        </w:rPr>
        <w:t>检测后样本保存与处理</w:t>
      </w:r>
    </w:p>
    <w:p w14:paraId="0AD55638">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r>
        <w:rPr>
          <w:rFonts w:hint="eastAsia"/>
        </w:rPr>
        <w:t>检测后样本宜密封处理后放置2</w:t>
      </w:r>
      <w:r>
        <w:rPr>
          <w:vertAlign w:val="subscript"/>
        </w:rPr>
        <w:t xml:space="preserve"> </w:t>
      </w:r>
      <w:r>
        <w:rPr>
          <w:rFonts w:hint="eastAsia"/>
        </w:rPr>
        <w:t>℃～8</w:t>
      </w:r>
      <w:r>
        <w:rPr>
          <w:vertAlign w:val="subscript"/>
        </w:rPr>
        <w:t xml:space="preserve"> </w:t>
      </w:r>
      <w:r>
        <w:rPr>
          <w:rFonts w:hint="eastAsia"/>
        </w:rPr>
        <w:t>℃医用冰箱（6</w:t>
      </w:r>
      <w:r>
        <w:t>.3</w:t>
      </w:r>
      <w:r>
        <w:rPr>
          <w:rFonts w:hint="eastAsia"/>
        </w:rPr>
        <w:t>）保存7</w:t>
      </w:r>
      <w:r>
        <w:rPr>
          <w:vertAlign w:val="superscript"/>
        </w:rPr>
        <w:t xml:space="preserve"> </w:t>
      </w:r>
      <w:r>
        <w:rPr>
          <w:rFonts w:hint="eastAsia"/>
        </w:rPr>
        <w:t>d。</w:t>
      </w:r>
    </w:p>
    <w:bookmarkEnd w:id="21"/>
    <w:p w14:paraId="0006DF7A">
      <w:pPr>
        <w:pStyle w:val="201"/>
        <w:rPr>
          <w:rFonts w:hint="eastAsia"/>
        </w:rPr>
      </w:pPr>
      <w:bookmarkStart w:id="44" w:name="BookMark5"/>
    </w:p>
    <w:p w14:paraId="0D1ED9F9">
      <w:pPr>
        <w:pStyle w:val="202"/>
        <w:rPr>
          <w:rFonts w:hint="eastAsia"/>
        </w:rPr>
      </w:pPr>
    </w:p>
    <w:p w14:paraId="57ED4675">
      <w:pPr>
        <w:pStyle w:val="79"/>
        <w:spacing w:after="120"/>
        <w:rPr>
          <w:rFonts w:hint="eastAsia"/>
        </w:rPr>
      </w:pPr>
      <w:r>
        <w:br w:type="textWrapping"/>
      </w:r>
      <w:r>
        <w:rPr>
          <w:rFonts w:hint="eastAsia"/>
        </w:rPr>
        <w:t>（规范性）</w:t>
      </w:r>
      <w:r>
        <w:br w:type="textWrapping"/>
      </w:r>
      <w:r>
        <w:rPr>
          <w:rFonts w:hint="eastAsia"/>
        </w:rPr>
        <w:t>结果解释</w:t>
      </w:r>
    </w:p>
    <w:p w14:paraId="4D6BCBC2">
      <w:pPr>
        <w:pStyle w:val="81"/>
        <w:spacing w:before="120" w:after="120"/>
      </w:pPr>
      <w:r>
        <w:rPr>
          <w:rFonts w:hint="eastAsia"/>
        </w:rPr>
        <w:t>肺炎支原体IgM（MP-IgM）结果解释</w:t>
      </w:r>
    </w:p>
    <w:p w14:paraId="3B74BD4D">
      <w:pPr>
        <w:pStyle w:val="215"/>
      </w:pPr>
      <w:r>
        <w:rPr>
          <w:rFonts w:hint="eastAsia"/>
        </w:rPr>
        <w:t>无反应性：不能排除感染，感染初期（1</w:t>
      </w:r>
      <w:r>
        <w:rPr>
          <w:vertAlign w:val="subscript"/>
        </w:rPr>
        <w:t xml:space="preserve"> </w:t>
      </w:r>
      <w:r>
        <w:rPr>
          <w:rFonts w:hint="eastAsia"/>
        </w:rPr>
        <w:t>d～3</w:t>
      </w:r>
      <w:r>
        <w:rPr>
          <w:vertAlign w:val="subscript"/>
        </w:rPr>
        <w:t xml:space="preserve"> </w:t>
      </w:r>
      <w:r>
        <w:rPr>
          <w:rFonts w:hint="eastAsia"/>
        </w:rPr>
        <w:t>d）或恢复期（抗体水平下降后），MP-IgM可能为阴性，高度怀疑感染时，需由医生结合病史、临床症状、体征、影像学表现和其他检测结果（如核酸检测）综合判断，必要时复查。</w:t>
      </w:r>
    </w:p>
    <w:p w14:paraId="088EF510">
      <w:pPr>
        <w:pStyle w:val="215"/>
      </w:pPr>
      <w:r>
        <w:rPr>
          <w:rFonts w:hint="eastAsia"/>
        </w:rPr>
        <w:t>灰区：结果判定为灰区时，提示受检样本中的MP-IgM水平未达到呈反应性的判断标准，实验室宜对该样本进行复查（原样本高速离心15</w:t>
      </w:r>
      <w:r>
        <w:rPr>
          <w:vertAlign w:val="subscript"/>
        </w:rPr>
        <w:t xml:space="preserve"> </w:t>
      </w:r>
      <w:r>
        <w:rPr>
          <w:rFonts w:hint="eastAsia"/>
        </w:rPr>
        <w:t>m</w:t>
      </w:r>
      <w:r>
        <w:t>in</w:t>
      </w:r>
      <w:r>
        <w:rPr>
          <w:rFonts w:hint="eastAsia"/>
        </w:rPr>
        <w:t>后重测）或动态监测抗体变化，或由医生根据受检对象的病史、临床症状、体征、影像学表现和其他检测结果（如核酸检测）综合判断。</w:t>
      </w:r>
    </w:p>
    <w:p w14:paraId="6F5C223A">
      <w:pPr>
        <w:pStyle w:val="215"/>
      </w:pPr>
      <w:r>
        <w:rPr>
          <w:rFonts w:hint="eastAsia"/>
        </w:rPr>
        <w:t>有反应性：IgM抗体通常在感染后1周左右出现，3～4周达到高峰，持续2～3个月。结果判定为有反应性时，提示可能为近期感染（急性感染）。</w:t>
      </w:r>
    </w:p>
    <w:p w14:paraId="3C9A0CD9">
      <w:pPr>
        <w:pStyle w:val="81"/>
        <w:spacing w:before="120" w:after="120"/>
      </w:pPr>
      <w:r>
        <w:rPr>
          <w:rFonts w:hint="eastAsia"/>
        </w:rPr>
        <w:t>肺炎支原体IgG(MP-IgG)结果解释</w:t>
      </w:r>
    </w:p>
    <w:p w14:paraId="7CEBAB62">
      <w:pPr>
        <w:pStyle w:val="215"/>
      </w:pPr>
      <w:r>
        <w:rPr>
          <w:rFonts w:hint="eastAsia"/>
        </w:rPr>
        <w:t>无反应性：不能排除感染，感染初期抗体可能为阴性，高度怀疑感染时，需结合病史、临床症状、体征、影像学表现和其他检测结果（如核酸检测）综合判断，必要时复查。</w:t>
      </w:r>
    </w:p>
    <w:p w14:paraId="781AC489">
      <w:pPr>
        <w:pStyle w:val="215"/>
      </w:pPr>
      <w:r>
        <w:rPr>
          <w:rFonts w:hint="eastAsia"/>
        </w:rPr>
        <w:t>灰区：结果判定为灰区时，提示受检样本中的MP-IgG水平未达到呈反应性的判断要求，实验室宜对该样本进行复查（原样本高速离心15</w:t>
      </w:r>
      <w:r>
        <w:rPr>
          <w:vertAlign w:val="subscript"/>
        </w:rPr>
        <w:t xml:space="preserve"> </w:t>
      </w:r>
      <w:r>
        <w:rPr>
          <w:rFonts w:hint="eastAsia"/>
        </w:rPr>
        <w:t>m</w:t>
      </w:r>
      <w:r>
        <w:t>in</w:t>
      </w:r>
      <w:r>
        <w:rPr>
          <w:rFonts w:hint="eastAsia"/>
        </w:rPr>
        <w:t>后重测）或动态监测抗体变化，或由医生根据受检对象的病史、临床症状、体征、影像学表现和其他检测结果（如核酸检测）综合判断。</w:t>
      </w:r>
    </w:p>
    <w:p w14:paraId="35F2B860">
      <w:pPr>
        <w:pStyle w:val="215"/>
      </w:pPr>
      <w:r>
        <w:rPr>
          <w:rFonts w:hint="eastAsia"/>
        </w:rPr>
        <w:t>有反应性：IgG抗体通常在感染后2～4周出现，可持续数月至数年。结果判定为有反应性时，提示可能为既往感染过肺炎支原体；患者病程中双份血清/血浆（间隔2～4周）MP-IgG抗体水平上升4倍及以上时，提示现症感染或复发感染可能，可结合受检对象的病史、临床症状、体征、影像学表现和其他检测结果（如核酸检测）进行综合判断。</w:t>
      </w:r>
    </w:p>
    <w:p w14:paraId="168A597B">
      <w:pPr>
        <w:pStyle w:val="59"/>
        <w:ind w:firstLine="420"/>
        <w:rPr>
          <w:rFonts w:hint="eastAsia"/>
        </w:rPr>
      </w:pPr>
    </w:p>
    <w:p w14:paraId="0C0DCA17">
      <w:pPr>
        <w:pStyle w:val="59"/>
        <w:ind w:firstLine="420"/>
        <w:rPr>
          <w:rFonts w:hint="eastAsia"/>
        </w:rPr>
      </w:pPr>
    </w:p>
    <w:p w14:paraId="0ED414FD">
      <w:pPr>
        <w:pStyle w:val="59"/>
        <w:ind w:firstLine="420"/>
        <w:rPr>
          <w:rFonts w:hint="eastAsia"/>
        </w:rPr>
      </w:pPr>
    </w:p>
    <w:p w14:paraId="3B0A1042">
      <w:pPr>
        <w:pStyle w:val="59"/>
        <w:ind w:firstLine="420"/>
      </w:pPr>
    </w:p>
    <w:p w14:paraId="715BFEC5">
      <w:pPr>
        <w:pStyle w:val="59"/>
        <w:ind w:firstLine="420"/>
        <w:sectPr>
          <w:pgSz w:w="11906" w:h="16838"/>
          <w:pgMar w:top="1928" w:right="1134" w:bottom="1134" w:left="1134" w:header="1418" w:footer="1134" w:gutter="284"/>
          <w:cols w:space="425" w:num="1"/>
          <w:formProt w:val="0"/>
          <w:docGrid w:linePitch="312" w:charSpace="0"/>
        </w:sectPr>
      </w:pPr>
    </w:p>
    <w:p w14:paraId="2C5E8413">
      <w:pPr>
        <w:pStyle w:val="201"/>
      </w:pPr>
    </w:p>
    <w:p w14:paraId="6BE63899">
      <w:pPr>
        <w:pStyle w:val="202"/>
      </w:pPr>
    </w:p>
    <w:p w14:paraId="63E7DC78">
      <w:pPr>
        <w:pStyle w:val="79"/>
        <w:spacing w:after="120"/>
      </w:pPr>
      <w:r>
        <w:br w:type="textWrapping"/>
      </w:r>
      <w:r>
        <w:rPr>
          <w:rFonts w:hint="eastAsia"/>
        </w:rPr>
        <w:t>（资料性）</w:t>
      </w:r>
      <w:r>
        <w:br w:type="textWrapping"/>
      </w:r>
      <w:r>
        <w:rPr>
          <w:rFonts w:hint="eastAsia"/>
        </w:rPr>
        <w:t>验证方法</w:t>
      </w:r>
    </w:p>
    <w:p w14:paraId="55D40A71">
      <w:pPr>
        <w:pStyle w:val="81"/>
        <w:spacing w:before="120" w:after="120"/>
      </w:pPr>
      <w:r>
        <w:rPr>
          <w:rFonts w:hint="eastAsia"/>
        </w:rPr>
        <w:t>试剂检测性能</w:t>
      </w:r>
    </w:p>
    <w:p w14:paraId="5CA0B73C">
      <w:pPr>
        <w:pStyle w:val="59"/>
        <w:ind w:firstLine="420"/>
      </w:pPr>
      <w:r>
        <w:rPr>
          <w:rFonts w:hint="eastAsia"/>
        </w:rPr>
        <w:t>首次启用检测试剂前应做性能验证。验证的检验程序性能指标应符合产品声明、预期用途、国家/行业标准或相关规定的要求。免疫定性检测分析性能验证内容至少应包括符合率，适用时还应包括检出限、重复性、抗干扰能力、生物参考区间等，保存验证原始数据记录。</w:t>
      </w:r>
    </w:p>
    <w:p w14:paraId="0B2F77E7">
      <w:pPr>
        <w:pStyle w:val="81"/>
        <w:spacing w:before="120" w:after="120"/>
      </w:pPr>
      <w:r>
        <w:rPr>
          <w:rFonts w:hint="eastAsia"/>
        </w:rPr>
        <w:t>方法符合率</w:t>
      </w:r>
    </w:p>
    <w:p w14:paraId="138C7FC5">
      <w:pPr>
        <w:pStyle w:val="59"/>
        <w:ind w:firstLine="420"/>
      </w:pPr>
      <w:r>
        <w:rPr>
          <w:rFonts w:hint="eastAsia"/>
        </w:rPr>
        <w:t>选取阴性样本10份（包含至少5份其他标志物阳性的样本）、阳性样本10份（包含至少5份弱阳性样本，1份极高值阳性），共20份样本，候选方法和参比方法均按照患者样本检测程序进行检测，即将本实验室与参比实验室用同一方法对同批样本所测数据进行比较，计算符合率，判断方法在本实验室的可行性。</w:t>
      </w:r>
    </w:p>
    <w:p w14:paraId="4830429E">
      <w:pPr>
        <w:pStyle w:val="182"/>
      </w:pPr>
      <w:r>
        <w:rPr>
          <w:rFonts w:hint="eastAsia"/>
        </w:rPr>
        <w:t>可接受判断标准为所用制造商检验方法（候选方法）标准。无可用的厂商标准时，可根据实验室检测方法的预期用途制定实验室验证可接受标准。</w:t>
      </w:r>
    </w:p>
    <w:p w14:paraId="2D3B9D32">
      <w:pPr>
        <w:pStyle w:val="81"/>
        <w:spacing w:before="120" w:after="120"/>
      </w:pPr>
      <w:r>
        <w:rPr>
          <w:rFonts w:hint="eastAsia"/>
        </w:rPr>
        <w:t>检出限</w:t>
      </w:r>
    </w:p>
    <w:p w14:paraId="690400CF">
      <w:pPr>
        <w:pStyle w:val="59"/>
        <w:ind w:firstLine="420"/>
      </w:pPr>
      <w:r>
        <w:rPr>
          <w:rFonts w:hint="eastAsia"/>
        </w:rPr>
        <w:t>根据试剂制造商说明书/厂商声明将已知浓度样本（国家标准物质、国际标准物质、制造商参考品等）进行系列稀释至制造商声明的最低检出限浓度，在不同批内对该浓度样本进行测定（如测定5</w:t>
      </w:r>
      <w:r>
        <w:rPr>
          <w:vertAlign w:val="superscript"/>
        </w:rPr>
        <w:t xml:space="preserve"> </w:t>
      </w:r>
      <w:r>
        <w:rPr>
          <w:rFonts w:hint="eastAsia"/>
        </w:rPr>
        <w:t>d，每天测定4份样本），样本总数不应少于20个，稀释液可根据情况选用厂商提供的稀释液或阴性血清。如果≥95</w:t>
      </w:r>
      <w:r>
        <w:rPr>
          <w:rFonts w:hint="eastAsia" w:hAnsi="宋体"/>
        </w:rPr>
        <w:t>％</w:t>
      </w:r>
      <w:r>
        <w:rPr>
          <w:rFonts w:hint="eastAsia"/>
        </w:rPr>
        <w:t>的样本检出阳性，该浓度即验证为该检测系统的最低检出限。</w:t>
      </w:r>
    </w:p>
    <w:p w14:paraId="51667E7D">
      <w:pPr>
        <w:pStyle w:val="81"/>
        <w:spacing w:before="120" w:after="120"/>
      </w:pPr>
      <w:r>
        <w:rPr>
          <w:rFonts w:hint="eastAsia"/>
        </w:rPr>
        <w:t>重复性（精密度）</w:t>
      </w:r>
    </w:p>
    <w:p w14:paraId="5BA2122A">
      <w:pPr>
        <w:pStyle w:val="215"/>
      </w:pPr>
      <w:r>
        <w:rPr>
          <w:rFonts w:hint="eastAsia"/>
        </w:rPr>
        <w:t>免疫学定性检验程序以量值或数值形式表达定性结果时，重复性（精密度）验证方法如下：</w:t>
      </w:r>
    </w:p>
    <w:p w14:paraId="48860FC2">
      <w:pPr>
        <w:pStyle w:val="135"/>
      </w:pPr>
      <w:r>
        <w:rPr>
          <w:rFonts w:hint="eastAsia"/>
        </w:rPr>
        <w:t>重复性精密度采用2～3个浓度水平样本，一天内在分析仪上重复检测10～20次，计算变异系数（CV值）。期间精密度为每天1次在分析仪上检测，10～20个工作日完成，计算CV值。</w:t>
      </w:r>
    </w:p>
    <w:p w14:paraId="462B4F37">
      <w:pPr>
        <w:pStyle w:val="135"/>
      </w:pPr>
      <w:r>
        <w:rPr>
          <w:rFonts w:hint="eastAsia"/>
        </w:rPr>
        <w:t>采用2～3个浓度水平样本，每日每个水平在检测系统上重复检测3次，5个工作日完成检测，计算CV值。</w:t>
      </w:r>
    </w:p>
    <w:p w14:paraId="16C89570">
      <w:pPr>
        <w:pStyle w:val="215"/>
      </w:pPr>
      <w:r>
        <w:rPr>
          <w:rFonts w:hint="eastAsia"/>
        </w:rPr>
        <w:t>重复性精密度＜10</w:t>
      </w:r>
      <w:r>
        <w:rPr>
          <w:rFonts w:hint="eastAsia" w:hAnsi="宋体"/>
        </w:rPr>
        <w:t>％</w:t>
      </w:r>
      <w:r>
        <w:rPr>
          <w:rFonts w:hint="eastAsia"/>
        </w:rPr>
        <w:t>或制造商说明书提供的可接受范围。期间精密度＜15％或制造商说明书提供的可接受范围。</w:t>
      </w:r>
    </w:p>
    <w:p w14:paraId="36F7B150">
      <w:pPr>
        <w:pStyle w:val="81"/>
        <w:spacing w:before="120" w:after="120"/>
      </w:pPr>
      <w:r>
        <w:rPr>
          <w:rFonts w:hint="eastAsia"/>
        </w:rPr>
        <w:t>抗干扰能力</w:t>
      </w:r>
    </w:p>
    <w:p w14:paraId="33FE64A4">
      <w:pPr>
        <w:pStyle w:val="215"/>
      </w:pPr>
      <w:r>
        <w:rPr>
          <w:rFonts w:hint="eastAsia"/>
        </w:rPr>
        <w:t>应验证与检测对象可能存在交叉反应的物质对检测的影响。通过评价样本中出现如胆红素、血红蛋白、甘油三酯、抗凝剂和常见药物等物质的干扰来检验检测方法的特异性。对于病原体标志物检测，还应验证与检测目标物可能存在交叉反应的其他病原体对检测的影响。</w:t>
      </w:r>
    </w:p>
    <w:p w14:paraId="39003EDA">
      <w:pPr>
        <w:pStyle w:val="215"/>
      </w:pPr>
      <w:r>
        <w:rPr>
          <w:rFonts w:hint="eastAsia"/>
        </w:rPr>
        <w:t>相关物质干扰验证试验：将目标物分别为阴性、弱阳性、阳性不同浓度的5份样本和相应干扰物进行一定比率的混合(混合后的浓度为制造商声明的最高不影响浓度)，加入干扰物质的量应小于样本量的10</w:t>
      </w:r>
      <w:r>
        <w:rPr>
          <w:rFonts w:hint="eastAsia" w:hAnsi="宋体"/>
        </w:rPr>
        <w:t>％</w:t>
      </w:r>
      <w:r>
        <w:rPr>
          <w:rFonts w:hint="eastAsia"/>
        </w:rPr>
        <w:t>(对照组加入等量的健康人阴性血清)，未添加干扰物质的阴性、弱阳性、阳性不同浓度的5份样本作为对照。实验样本和对照样本重复检测至少2次，计算结果并记录。</w:t>
      </w:r>
    </w:p>
    <w:p w14:paraId="544D00EC">
      <w:pPr>
        <w:pStyle w:val="215"/>
      </w:pPr>
      <w:r>
        <w:rPr>
          <w:rFonts w:hint="eastAsia"/>
        </w:rPr>
        <w:t>病原体干扰验证试验：将收集与目标物可能有交叉抗原、易引起相同或相似的临床症状的病原体阳性样本分别加至上述选取目标物分别为阴性、弱阳性、阳性不同浓度的5份样本中，加人干扰物质的量应小于样本量的10％(对照组加入等量的健康人阴性血清)，未添加干扰物质的阴性、弱阳性、阳性不同浓度的5份样本作为对照。实验样本和对照样本重复检测至少2次，计算结果并记录。</w:t>
      </w:r>
    </w:p>
    <w:p w14:paraId="7986DDC8">
      <w:pPr>
        <w:pStyle w:val="215"/>
      </w:pPr>
      <w:r>
        <w:rPr>
          <w:rFonts w:hint="eastAsia"/>
        </w:rPr>
        <w:t>判断标准：加干扰物质的阳性组结果和阳性对照组结果之间符合率应≥80％；添加干扰物质的阴性组和阴性对照组结果均为阴性。</w:t>
      </w:r>
    </w:p>
    <w:p w14:paraId="02677D91">
      <w:pPr>
        <w:pStyle w:val="81"/>
        <w:spacing w:before="120" w:after="120"/>
      </w:pPr>
      <w:r>
        <w:rPr>
          <w:rFonts w:hint="eastAsia"/>
        </w:rPr>
        <w:t>生物参考区间</w:t>
      </w:r>
    </w:p>
    <w:p w14:paraId="7C47DE68">
      <w:pPr>
        <w:pStyle w:val="215"/>
      </w:pPr>
      <w:r>
        <w:rPr>
          <w:rFonts w:hint="eastAsia"/>
        </w:rPr>
        <w:t>宜使用制造商提供、国家/行业公认的参考范围作为实验室检测项目的生物参考区间。</w:t>
      </w:r>
    </w:p>
    <w:p w14:paraId="1C6FF8FA">
      <w:pPr>
        <w:pStyle w:val="215"/>
      </w:pPr>
      <w:r>
        <w:rPr>
          <w:rFonts w:hint="eastAsia"/>
        </w:rPr>
        <w:t>方法：收集20例符合建立参考范围的样本(排除了影响所研究指标的疾病和有关因素的同质人群)进行检测。</w:t>
      </w:r>
    </w:p>
    <w:p w14:paraId="5F036C65">
      <w:pPr>
        <w:pStyle w:val="215"/>
      </w:pPr>
      <w:r>
        <w:rPr>
          <w:rFonts w:hint="eastAsia"/>
        </w:rPr>
        <w:t>判断标准：≥90</w:t>
      </w:r>
      <w:r>
        <w:rPr>
          <w:rFonts w:hint="eastAsia" w:hAnsi="宋体"/>
        </w:rPr>
        <w:t>％</w:t>
      </w:r>
      <w:r>
        <w:rPr>
          <w:rFonts w:hint="eastAsia"/>
        </w:rPr>
        <w:t>的样本检测结果为阴性时，即可接受该生物参考区间验证。</w:t>
      </w:r>
    </w:p>
    <w:p w14:paraId="1C4A63C9">
      <w:pPr>
        <w:pStyle w:val="59"/>
        <w:ind w:firstLine="420"/>
      </w:pPr>
    </w:p>
    <w:p w14:paraId="5BDE3BC1">
      <w:pPr>
        <w:pStyle w:val="59"/>
        <w:ind w:firstLine="420"/>
      </w:pPr>
    </w:p>
    <w:p w14:paraId="75F58870">
      <w:pPr>
        <w:pStyle w:val="59"/>
        <w:ind w:firstLine="420"/>
      </w:pPr>
    </w:p>
    <w:p w14:paraId="39FB2E22">
      <w:pPr>
        <w:pStyle w:val="59"/>
        <w:ind w:firstLine="420"/>
      </w:pPr>
    </w:p>
    <w:bookmarkEnd w:id="44"/>
    <w:p w14:paraId="01037374">
      <w:pPr>
        <w:pStyle w:val="59"/>
        <w:ind w:firstLine="420"/>
        <w:sectPr>
          <w:pgSz w:w="11906" w:h="16838"/>
          <w:pgMar w:top="1928" w:right="1134" w:bottom="1134" w:left="1134" w:header="1418" w:footer="1134" w:gutter="284"/>
          <w:cols w:space="425" w:num="1"/>
          <w:formProt w:val="0"/>
          <w:docGrid w:linePitch="312" w:charSpace="0"/>
        </w:sectPr>
      </w:pPr>
      <w:bookmarkStart w:id="45" w:name="BookMark6"/>
    </w:p>
    <w:p w14:paraId="22E073F3">
      <w:pPr>
        <w:pStyle w:val="66"/>
        <w:spacing w:after="120"/>
      </w:pPr>
      <w:r>
        <w:rPr>
          <w:rFonts w:hint="eastAsia"/>
          <w:spacing w:val="105"/>
        </w:rPr>
        <w:t>参考文</w:t>
      </w:r>
      <w:r>
        <w:rPr>
          <w:rFonts w:hint="eastAsia"/>
        </w:rPr>
        <w:t>献</w:t>
      </w:r>
    </w:p>
    <w:p w14:paraId="6DB17720">
      <w:pPr>
        <w:pStyle w:val="59"/>
        <w:ind w:firstLine="420"/>
      </w:pPr>
      <w:r>
        <w:rPr>
          <w:rFonts w:hint="eastAsia"/>
        </w:rPr>
        <w:t>[1]</w:t>
      </w:r>
      <w:r>
        <w:t xml:space="preserve">  </w:t>
      </w:r>
      <w:r>
        <w:rPr>
          <w:rFonts w:hint="eastAsia"/>
        </w:rPr>
        <w:t>赵霞，高磊.支原体肺炎患者实验室检验的研究进展[J].现代养生，2024.</w:t>
      </w:r>
    </w:p>
    <w:p w14:paraId="44558BF6">
      <w:pPr>
        <w:pStyle w:val="59"/>
        <w:ind w:firstLine="420"/>
      </w:pPr>
      <w:r>
        <w:rPr>
          <w:rFonts w:hint="eastAsia"/>
        </w:rPr>
        <w:t>[</w:t>
      </w:r>
      <w:r>
        <w:t>2</w:t>
      </w:r>
      <w:r>
        <w:rPr>
          <w:rFonts w:hint="eastAsia"/>
        </w:rPr>
        <w:t>]</w:t>
      </w:r>
      <w:r>
        <w:t xml:space="preserve">  </w:t>
      </w:r>
      <w:r>
        <w:rPr>
          <w:rFonts w:hint="eastAsia"/>
        </w:rPr>
        <w:t>李桦，肖鸽飞，张霞等.三种方法检测肺炎支原体抗体的一致性分析[J].中国实用医药，2020.</w:t>
      </w:r>
    </w:p>
    <w:bookmarkEnd w:id="45"/>
    <w:p w14:paraId="6B015887">
      <w:pPr>
        <w:pStyle w:val="59"/>
        <w:ind w:firstLine="0" w:firstLineChars="0"/>
        <w:jc w:val="center"/>
      </w:pPr>
      <w:bookmarkStart w:id="46"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p w14:paraId="22863DB1">
      <w:pPr>
        <w:spacing w:before="240" w:after="240"/>
        <w:ind w:firstLine="4410" w:firstLineChars="2100"/>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F54B6">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91589">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9CCB4">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821CA">
    <w:pPr>
      <w:pStyle w:val="55"/>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43F52">
    <w:pPr>
      <w:pStyle w:val="54"/>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9046F">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8B334">
    <w:pPr>
      <w:pStyle w:val="54"/>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F0D0C">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20036">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09588">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DBE0">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BF52E">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E1CDA">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2CDB4">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2"/>
        </w:tabs>
        <w:ind w:left="852"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EC3"/>
    <w:rsid w:val="0000040A"/>
    <w:rsid w:val="00000A94"/>
    <w:rsid w:val="00001972"/>
    <w:rsid w:val="00001D9A"/>
    <w:rsid w:val="00006700"/>
    <w:rsid w:val="00007B3A"/>
    <w:rsid w:val="000107E0"/>
    <w:rsid w:val="00011B23"/>
    <w:rsid w:val="00011FDE"/>
    <w:rsid w:val="00012FFD"/>
    <w:rsid w:val="00014162"/>
    <w:rsid w:val="00014340"/>
    <w:rsid w:val="00016A9C"/>
    <w:rsid w:val="00022184"/>
    <w:rsid w:val="00022762"/>
    <w:rsid w:val="000238E0"/>
    <w:rsid w:val="000249DB"/>
    <w:rsid w:val="00025318"/>
    <w:rsid w:val="00025554"/>
    <w:rsid w:val="0002595E"/>
    <w:rsid w:val="00027240"/>
    <w:rsid w:val="000303C3"/>
    <w:rsid w:val="0003273F"/>
    <w:rsid w:val="000331D3"/>
    <w:rsid w:val="000346A5"/>
    <w:rsid w:val="000359C3"/>
    <w:rsid w:val="00035A7D"/>
    <w:rsid w:val="0003641E"/>
    <w:rsid w:val="000365ED"/>
    <w:rsid w:val="000368DB"/>
    <w:rsid w:val="00036920"/>
    <w:rsid w:val="0004249A"/>
    <w:rsid w:val="00042981"/>
    <w:rsid w:val="00043282"/>
    <w:rsid w:val="00044286"/>
    <w:rsid w:val="00047F28"/>
    <w:rsid w:val="000503AA"/>
    <w:rsid w:val="000506A1"/>
    <w:rsid w:val="000515DD"/>
    <w:rsid w:val="0005265A"/>
    <w:rsid w:val="000539DD"/>
    <w:rsid w:val="00053BD3"/>
    <w:rsid w:val="00053D6F"/>
    <w:rsid w:val="000556ED"/>
    <w:rsid w:val="00055FE2"/>
    <w:rsid w:val="0005616F"/>
    <w:rsid w:val="00057211"/>
    <w:rsid w:val="00060C2E"/>
    <w:rsid w:val="00061033"/>
    <w:rsid w:val="000619E9"/>
    <w:rsid w:val="000622D4"/>
    <w:rsid w:val="0006357D"/>
    <w:rsid w:val="00064B90"/>
    <w:rsid w:val="00064FB8"/>
    <w:rsid w:val="00066499"/>
    <w:rsid w:val="00067F1E"/>
    <w:rsid w:val="00071CC0"/>
    <w:rsid w:val="00071CFC"/>
    <w:rsid w:val="00073721"/>
    <w:rsid w:val="00073C8C"/>
    <w:rsid w:val="00077B64"/>
    <w:rsid w:val="00080A1C"/>
    <w:rsid w:val="00082317"/>
    <w:rsid w:val="00083D2C"/>
    <w:rsid w:val="00086AA1"/>
    <w:rsid w:val="00087A77"/>
    <w:rsid w:val="00090CA6"/>
    <w:rsid w:val="00091548"/>
    <w:rsid w:val="00092B8A"/>
    <w:rsid w:val="00092FB0"/>
    <w:rsid w:val="000934C5"/>
    <w:rsid w:val="00093D25"/>
    <w:rsid w:val="00093DAB"/>
    <w:rsid w:val="00094045"/>
    <w:rsid w:val="00094D73"/>
    <w:rsid w:val="00096D63"/>
    <w:rsid w:val="000A0B60"/>
    <w:rsid w:val="000A0EB8"/>
    <w:rsid w:val="000A19FC"/>
    <w:rsid w:val="000A296B"/>
    <w:rsid w:val="000A4111"/>
    <w:rsid w:val="000A7311"/>
    <w:rsid w:val="000B060F"/>
    <w:rsid w:val="000B1592"/>
    <w:rsid w:val="000B1FF2"/>
    <w:rsid w:val="000B3CDA"/>
    <w:rsid w:val="000B67AE"/>
    <w:rsid w:val="000B6A0B"/>
    <w:rsid w:val="000C0F6C"/>
    <w:rsid w:val="000C11DB"/>
    <w:rsid w:val="000C1492"/>
    <w:rsid w:val="000C2FBD"/>
    <w:rsid w:val="000C3332"/>
    <w:rsid w:val="000C4B41"/>
    <w:rsid w:val="000C57D6"/>
    <w:rsid w:val="000C6362"/>
    <w:rsid w:val="000C655D"/>
    <w:rsid w:val="000C6ABC"/>
    <w:rsid w:val="000C7666"/>
    <w:rsid w:val="000D02D9"/>
    <w:rsid w:val="000D0A9C"/>
    <w:rsid w:val="000D1795"/>
    <w:rsid w:val="000D329A"/>
    <w:rsid w:val="000D4B9C"/>
    <w:rsid w:val="000D4EB6"/>
    <w:rsid w:val="000D753B"/>
    <w:rsid w:val="000E3859"/>
    <w:rsid w:val="000E38A9"/>
    <w:rsid w:val="000E4C9E"/>
    <w:rsid w:val="000E6FD7"/>
    <w:rsid w:val="000E7144"/>
    <w:rsid w:val="000F06E1"/>
    <w:rsid w:val="000F0E3C"/>
    <w:rsid w:val="000F19D5"/>
    <w:rsid w:val="000F4050"/>
    <w:rsid w:val="000F4AEA"/>
    <w:rsid w:val="000F67E9"/>
    <w:rsid w:val="000F6FB4"/>
    <w:rsid w:val="00102466"/>
    <w:rsid w:val="00102774"/>
    <w:rsid w:val="00104926"/>
    <w:rsid w:val="001049F0"/>
    <w:rsid w:val="0010603A"/>
    <w:rsid w:val="00113B1E"/>
    <w:rsid w:val="0011711C"/>
    <w:rsid w:val="001208D6"/>
    <w:rsid w:val="00124E4F"/>
    <w:rsid w:val="001260B7"/>
    <w:rsid w:val="001265CB"/>
    <w:rsid w:val="001321C6"/>
    <w:rsid w:val="001325C4"/>
    <w:rsid w:val="00133010"/>
    <w:rsid w:val="001338EE"/>
    <w:rsid w:val="00133AAE"/>
    <w:rsid w:val="00135323"/>
    <w:rsid w:val="001356C4"/>
    <w:rsid w:val="00137565"/>
    <w:rsid w:val="00141114"/>
    <w:rsid w:val="00141AD6"/>
    <w:rsid w:val="00142969"/>
    <w:rsid w:val="001446C2"/>
    <w:rsid w:val="001457E7"/>
    <w:rsid w:val="00145D9D"/>
    <w:rsid w:val="00145FA4"/>
    <w:rsid w:val="00146388"/>
    <w:rsid w:val="0015032A"/>
    <w:rsid w:val="001529E5"/>
    <w:rsid w:val="00152FB3"/>
    <w:rsid w:val="00153C7E"/>
    <w:rsid w:val="00154626"/>
    <w:rsid w:val="00156B25"/>
    <w:rsid w:val="00156E1A"/>
    <w:rsid w:val="00157894"/>
    <w:rsid w:val="00157B55"/>
    <w:rsid w:val="001607D8"/>
    <w:rsid w:val="001642FA"/>
    <w:rsid w:val="001649EB"/>
    <w:rsid w:val="00164BAF"/>
    <w:rsid w:val="00164FA8"/>
    <w:rsid w:val="00165065"/>
    <w:rsid w:val="00165434"/>
    <w:rsid w:val="0016580B"/>
    <w:rsid w:val="00165F49"/>
    <w:rsid w:val="00166B88"/>
    <w:rsid w:val="0016770A"/>
    <w:rsid w:val="001707C0"/>
    <w:rsid w:val="00170804"/>
    <w:rsid w:val="001708E9"/>
    <w:rsid w:val="0017340B"/>
    <w:rsid w:val="00173FB1"/>
    <w:rsid w:val="00175242"/>
    <w:rsid w:val="00176279"/>
    <w:rsid w:val="001763D6"/>
    <w:rsid w:val="00176DFD"/>
    <w:rsid w:val="001852C9"/>
    <w:rsid w:val="00187A0B"/>
    <w:rsid w:val="00190087"/>
    <w:rsid w:val="001913C4"/>
    <w:rsid w:val="001920F4"/>
    <w:rsid w:val="001921DE"/>
    <w:rsid w:val="0019348F"/>
    <w:rsid w:val="00193A07"/>
    <w:rsid w:val="00194C95"/>
    <w:rsid w:val="001951FF"/>
    <w:rsid w:val="00195C34"/>
    <w:rsid w:val="00196EF5"/>
    <w:rsid w:val="001A1A53"/>
    <w:rsid w:val="001A234A"/>
    <w:rsid w:val="001A4CF3"/>
    <w:rsid w:val="001A5C54"/>
    <w:rsid w:val="001A6696"/>
    <w:rsid w:val="001B06E8"/>
    <w:rsid w:val="001B3276"/>
    <w:rsid w:val="001B5556"/>
    <w:rsid w:val="001B68A8"/>
    <w:rsid w:val="001B71D0"/>
    <w:rsid w:val="001B71EE"/>
    <w:rsid w:val="001B74B4"/>
    <w:rsid w:val="001C04A8"/>
    <w:rsid w:val="001C2915"/>
    <w:rsid w:val="001C2C03"/>
    <w:rsid w:val="001C42F7"/>
    <w:rsid w:val="001C49E5"/>
    <w:rsid w:val="001C680C"/>
    <w:rsid w:val="001C7FEA"/>
    <w:rsid w:val="001D0499"/>
    <w:rsid w:val="001D0BBE"/>
    <w:rsid w:val="001D0ED4"/>
    <w:rsid w:val="001D212F"/>
    <w:rsid w:val="001D29D7"/>
    <w:rsid w:val="001D2DE7"/>
    <w:rsid w:val="001D411C"/>
    <w:rsid w:val="001D55EC"/>
    <w:rsid w:val="001D65AB"/>
    <w:rsid w:val="001E1B6A"/>
    <w:rsid w:val="001E2484"/>
    <w:rsid w:val="001E2F8A"/>
    <w:rsid w:val="001E3770"/>
    <w:rsid w:val="001E3CC4"/>
    <w:rsid w:val="001E44CD"/>
    <w:rsid w:val="001E4882"/>
    <w:rsid w:val="001E73AB"/>
    <w:rsid w:val="001F092D"/>
    <w:rsid w:val="001F143A"/>
    <w:rsid w:val="001F1605"/>
    <w:rsid w:val="001F2508"/>
    <w:rsid w:val="001F4816"/>
    <w:rsid w:val="001F69B4"/>
    <w:rsid w:val="001F77C7"/>
    <w:rsid w:val="001F7D3F"/>
    <w:rsid w:val="00200183"/>
    <w:rsid w:val="00200333"/>
    <w:rsid w:val="0020107D"/>
    <w:rsid w:val="00202AA4"/>
    <w:rsid w:val="002031F7"/>
    <w:rsid w:val="002040E6"/>
    <w:rsid w:val="0020527B"/>
    <w:rsid w:val="00205F2C"/>
    <w:rsid w:val="00207666"/>
    <w:rsid w:val="00210B15"/>
    <w:rsid w:val="002142EA"/>
    <w:rsid w:val="00215ADD"/>
    <w:rsid w:val="002204BB"/>
    <w:rsid w:val="00221B79"/>
    <w:rsid w:val="00221C6B"/>
    <w:rsid w:val="002253A1"/>
    <w:rsid w:val="00225CF8"/>
    <w:rsid w:val="0022794E"/>
    <w:rsid w:val="0023300A"/>
    <w:rsid w:val="00233A9D"/>
    <w:rsid w:val="00233D64"/>
    <w:rsid w:val="0023482A"/>
    <w:rsid w:val="002359CB"/>
    <w:rsid w:val="0023772C"/>
    <w:rsid w:val="002406F4"/>
    <w:rsid w:val="00243540"/>
    <w:rsid w:val="0024497B"/>
    <w:rsid w:val="0024515B"/>
    <w:rsid w:val="00246021"/>
    <w:rsid w:val="0024666E"/>
    <w:rsid w:val="00247F52"/>
    <w:rsid w:val="00250B25"/>
    <w:rsid w:val="00250BBE"/>
    <w:rsid w:val="002515C2"/>
    <w:rsid w:val="0025194F"/>
    <w:rsid w:val="00251C59"/>
    <w:rsid w:val="00252F58"/>
    <w:rsid w:val="002601C4"/>
    <w:rsid w:val="00261082"/>
    <w:rsid w:val="0026148A"/>
    <w:rsid w:val="00262696"/>
    <w:rsid w:val="00263D25"/>
    <w:rsid w:val="002643C3"/>
    <w:rsid w:val="00264A0C"/>
    <w:rsid w:val="002650B7"/>
    <w:rsid w:val="00265C38"/>
    <w:rsid w:val="00266EEB"/>
    <w:rsid w:val="00267EF4"/>
    <w:rsid w:val="00270CB8"/>
    <w:rsid w:val="00272B08"/>
    <w:rsid w:val="0027639A"/>
    <w:rsid w:val="00280CE8"/>
    <w:rsid w:val="00281BB8"/>
    <w:rsid w:val="00281E9E"/>
    <w:rsid w:val="00282405"/>
    <w:rsid w:val="00285170"/>
    <w:rsid w:val="00285361"/>
    <w:rsid w:val="00285450"/>
    <w:rsid w:val="00285A08"/>
    <w:rsid w:val="002903F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A3C"/>
    <w:rsid w:val="002A4CEA"/>
    <w:rsid w:val="002A53B7"/>
    <w:rsid w:val="002A5977"/>
    <w:rsid w:val="002A5A13"/>
    <w:rsid w:val="002A5D84"/>
    <w:rsid w:val="002A757F"/>
    <w:rsid w:val="002A7F44"/>
    <w:rsid w:val="002B0C40"/>
    <w:rsid w:val="002B1966"/>
    <w:rsid w:val="002B4508"/>
    <w:rsid w:val="002B5779"/>
    <w:rsid w:val="002B7332"/>
    <w:rsid w:val="002B7857"/>
    <w:rsid w:val="002B7F51"/>
    <w:rsid w:val="002C09E7"/>
    <w:rsid w:val="002C1E06"/>
    <w:rsid w:val="002C2162"/>
    <w:rsid w:val="002C3F07"/>
    <w:rsid w:val="002C4613"/>
    <w:rsid w:val="002C5278"/>
    <w:rsid w:val="002C7EBB"/>
    <w:rsid w:val="002D06C1"/>
    <w:rsid w:val="002D42B5"/>
    <w:rsid w:val="002D4F1A"/>
    <w:rsid w:val="002D6EC6"/>
    <w:rsid w:val="002D79AC"/>
    <w:rsid w:val="002D7B22"/>
    <w:rsid w:val="002E039D"/>
    <w:rsid w:val="002E2F4B"/>
    <w:rsid w:val="002E374A"/>
    <w:rsid w:val="002E4D5A"/>
    <w:rsid w:val="002E6326"/>
    <w:rsid w:val="002F30E0"/>
    <w:rsid w:val="002F35E4"/>
    <w:rsid w:val="002F3730"/>
    <w:rsid w:val="002F38E1"/>
    <w:rsid w:val="002F39DF"/>
    <w:rsid w:val="002F5520"/>
    <w:rsid w:val="002F7AF6"/>
    <w:rsid w:val="00300E63"/>
    <w:rsid w:val="00302D19"/>
    <w:rsid w:val="00302F5F"/>
    <w:rsid w:val="0030441D"/>
    <w:rsid w:val="00305531"/>
    <w:rsid w:val="00306063"/>
    <w:rsid w:val="00310495"/>
    <w:rsid w:val="00313B85"/>
    <w:rsid w:val="00317988"/>
    <w:rsid w:val="003221B4"/>
    <w:rsid w:val="0032258D"/>
    <w:rsid w:val="00322E62"/>
    <w:rsid w:val="00324D13"/>
    <w:rsid w:val="00324EDD"/>
    <w:rsid w:val="00330874"/>
    <w:rsid w:val="003331E4"/>
    <w:rsid w:val="00333D84"/>
    <w:rsid w:val="00336C64"/>
    <w:rsid w:val="00337162"/>
    <w:rsid w:val="0034194F"/>
    <w:rsid w:val="0034249D"/>
    <w:rsid w:val="003430A7"/>
    <w:rsid w:val="00344605"/>
    <w:rsid w:val="00345E8F"/>
    <w:rsid w:val="003474AA"/>
    <w:rsid w:val="00350A8A"/>
    <w:rsid w:val="00350D1D"/>
    <w:rsid w:val="00352C83"/>
    <w:rsid w:val="00352F1A"/>
    <w:rsid w:val="00360FD1"/>
    <w:rsid w:val="0036107C"/>
    <w:rsid w:val="003615D2"/>
    <w:rsid w:val="00361AFC"/>
    <w:rsid w:val="003640B7"/>
    <w:rsid w:val="0036429C"/>
    <w:rsid w:val="00364A53"/>
    <w:rsid w:val="003654CB"/>
    <w:rsid w:val="00365AA9"/>
    <w:rsid w:val="00365F86"/>
    <w:rsid w:val="00365F87"/>
    <w:rsid w:val="00366E89"/>
    <w:rsid w:val="003705F4"/>
    <w:rsid w:val="00370D58"/>
    <w:rsid w:val="00371316"/>
    <w:rsid w:val="00376713"/>
    <w:rsid w:val="00376C02"/>
    <w:rsid w:val="00381815"/>
    <w:rsid w:val="003819AF"/>
    <w:rsid w:val="003820E9"/>
    <w:rsid w:val="00382DE7"/>
    <w:rsid w:val="00383FA3"/>
    <w:rsid w:val="00384FFC"/>
    <w:rsid w:val="003872FC"/>
    <w:rsid w:val="00387ADC"/>
    <w:rsid w:val="00390020"/>
    <w:rsid w:val="003903D6"/>
    <w:rsid w:val="00390EE6"/>
    <w:rsid w:val="0039118F"/>
    <w:rsid w:val="00392AD7"/>
    <w:rsid w:val="003938D9"/>
    <w:rsid w:val="00394375"/>
    <w:rsid w:val="00394376"/>
    <w:rsid w:val="003943FF"/>
    <w:rsid w:val="00396443"/>
    <w:rsid w:val="003974EB"/>
    <w:rsid w:val="00397CC5"/>
    <w:rsid w:val="003A11D1"/>
    <w:rsid w:val="003A1582"/>
    <w:rsid w:val="003A3D9C"/>
    <w:rsid w:val="003A4064"/>
    <w:rsid w:val="003A4077"/>
    <w:rsid w:val="003A47F2"/>
    <w:rsid w:val="003A4AA7"/>
    <w:rsid w:val="003B09AD"/>
    <w:rsid w:val="003B186A"/>
    <w:rsid w:val="003B1F18"/>
    <w:rsid w:val="003B21D1"/>
    <w:rsid w:val="003B2889"/>
    <w:rsid w:val="003B5BF0"/>
    <w:rsid w:val="003B60BF"/>
    <w:rsid w:val="003B6211"/>
    <w:rsid w:val="003B6BE3"/>
    <w:rsid w:val="003C010C"/>
    <w:rsid w:val="003C0A6C"/>
    <w:rsid w:val="003C14F8"/>
    <w:rsid w:val="003C4691"/>
    <w:rsid w:val="003C5A43"/>
    <w:rsid w:val="003C70EF"/>
    <w:rsid w:val="003D0519"/>
    <w:rsid w:val="003D0FF6"/>
    <w:rsid w:val="003D1B19"/>
    <w:rsid w:val="003D262C"/>
    <w:rsid w:val="003D51B5"/>
    <w:rsid w:val="003D5A5F"/>
    <w:rsid w:val="003D693F"/>
    <w:rsid w:val="003D6D61"/>
    <w:rsid w:val="003D7416"/>
    <w:rsid w:val="003E019F"/>
    <w:rsid w:val="003E091D"/>
    <w:rsid w:val="003E1C53"/>
    <w:rsid w:val="003E2146"/>
    <w:rsid w:val="003E2A69"/>
    <w:rsid w:val="003E2D49"/>
    <w:rsid w:val="003E2FD4"/>
    <w:rsid w:val="003E49F6"/>
    <w:rsid w:val="003E638E"/>
    <w:rsid w:val="003E660F"/>
    <w:rsid w:val="003E7289"/>
    <w:rsid w:val="003F0841"/>
    <w:rsid w:val="003F23D3"/>
    <w:rsid w:val="003F3F08"/>
    <w:rsid w:val="003F44C8"/>
    <w:rsid w:val="003F49F1"/>
    <w:rsid w:val="003F6272"/>
    <w:rsid w:val="00400E72"/>
    <w:rsid w:val="00401400"/>
    <w:rsid w:val="00401DA8"/>
    <w:rsid w:val="0040428E"/>
    <w:rsid w:val="00404869"/>
    <w:rsid w:val="00405884"/>
    <w:rsid w:val="00407D39"/>
    <w:rsid w:val="0041477A"/>
    <w:rsid w:val="00414B1B"/>
    <w:rsid w:val="00416132"/>
    <w:rsid w:val="004167A3"/>
    <w:rsid w:val="00417642"/>
    <w:rsid w:val="00421D8B"/>
    <w:rsid w:val="00422789"/>
    <w:rsid w:val="00425DE1"/>
    <w:rsid w:val="00426D89"/>
    <w:rsid w:val="00432DAA"/>
    <w:rsid w:val="00434305"/>
    <w:rsid w:val="00435DF7"/>
    <w:rsid w:val="00436077"/>
    <w:rsid w:val="0043741A"/>
    <w:rsid w:val="0044083F"/>
    <w:rsid w:val="00441AE7"/>
    <w:rsid w:val="00445574"/>
    <w:rsid w:val="004467FB"/>
    <w:rsid w:val="0045111E"/>
    <w:rsid w:val="0045177C"/>
    <w:rsid w:val="00452D6B"/>
    <w:rsid w:val="00454484"/>
    <w:rsid w:val="0045517B"/>
    <w:rsid w:val="00456015"/>
    <w:rsid w:val="0045780F"/>
    <w:rsid w:val="00457E6F"/>
    <w:rsid w:val="00463B77"/>
    <w:rsid w:val="00463C7B"/>
    <w:rsid w:val="004644A6"/>
    <w:rsid w:val="004659BD"/>
    <w:rsid w:val="00470775"/>
    <w:rsid w:val="004746B1"/>
    <w:rsid w:val="00474C44"/>
    <w:rsid w:val="0047583F"/>
    <w:rsid w:val="00475DE8"/>
    <w:rsid w:val="0048069A"/>
    <w:rsid w:val="00480875"/>
    <w:rsid w:val="00480A9F"/>
    <w:rsid w:val="00481C44"/>
    <w:rsid w:val="00484936"/>
    <w:rsid w:val="00485C89"/>
    <w:rsid w:val="00486BE3"/>
    <w:rsid w:val="004905E4"/>
    <w:rsid w:val="00490A89"/>
    <w:rsid w:val="00490AB4"/>
    <w:rsid w:val="00492F02"/>
    <w:rsid w:val="004939AE"/>
    <w:rsid w:val="00497357"/>
    <w:rsid w:val="004A12DF"/>
    <w:rsid w:val="004A1BA8"/>
    <w:rsid w:val="004A1F46"/>
    <w:rsid w:val="004A2153"/>
    <w:rsid w:val="004A4B57"/>
    <w:rsid w:val="004A63FA"/>
    <w:rsid w:val="004A6A3D"/>
    <w:rsid w:val="004B0272"/>
    <w:rsid w:val="004B2701"/>
    <w:rsid w:val="004B2E1B"/>
    <w:rsid w:val="004B2FB2"/>
    <w:rsid w:val="004B36FF"/>
    <w:rsid w:val="004B3AA8"/>
    <w:rsid w:val="004B3E93"/>
    <w:rsid w:val="004B5F44"/>
    <w:rsid w:val="004C0DBC"/>
    <w:rsid w:val="004C1FBC"/>
    <w:rsid w:val="004C25A2"/>
    <w:rsid w:val="004C3F1D"/>
    <w:rsid w:val="004C4003"/>
    <w:rsid w:val="004C458D"/>
    <w:rsid w:val="004C4974"/>
    <w:rsid w:val="004C7556"/>
    <w:rsid w:val="004C7E8B"/>
    <w:rsid w:val="004C7E9D"/>
    <w:rsid w:val="004C7F67"/>
    <w:rsid w:val="004D076D"/>
    <w:rsid w:val="004D0EF1"/>
    <w:rsid w:val="004D2253"/>
    <w:rsid w:val="004D4406"/>
    <w:rsid w:val="004D648D"/>
    <w:rsid w:val="004D7C42"/>
    <w:rsid w:val="004E0465"/>
    <w:rsid w:val="004E127B"/>
    <w:rsid w:val="004E1C0A"/>
    <w:rsid w:val="004E30C5"/>
    <w:rsid w:val="004E3116"/>
    <w:rsid w:val="004E4AA5"/>
    <w:rsid w:val="004E4AEE"/>
    <w:rsid w:val="004E4FBC"/>
    <w:rsid w:val="004E59E3"/>
    <w:rsid w:val="004E63DF"/>
    <w:rsid w:val="004E67C0"/>
    <w:rsid w:val="004F01B3"/>
    <w:rsid w:val="004F391A"/>
    <w:rsid w:val="004F3CFB"/>
    <w:rsid w:val="004F6456"/>
    <w:rsid w:val="004F696E"/>
    <w:rsid w:val="004F6C71"/>
    <w:rsid w:val="00501139"/>
    <w:rsid w:val="005013DE"/>
    <w:rsid w:val="0050333E"/>
    <w:rsid w:val="0050363E"/>
    <w:rsid w:val="005039BC"/>
    <w:rsid w:val="00503A82"/>
    <w:rsid w:val="005043BB"/>
    <w:rsid w:val="00504A3D"/>
    <w:rsid w:val="00505767"/>
    <w:rsid w:val="005073F0"/>
    <w:rsid w:val="00510A7B"/>
    <w:rsid w:val="00512F6E"/>
    <w:rsid w:val="00513038"/>
    <w:rsid w:val="00513835"/>
    <w:rsid w:val="00514174"/>
    <w:rsid w:val="005144F6"/>
    <w:rsid w:val="00516088"/>
    <w:rsid w:val="00516B0B"/>
    <w:rsid w:val="005220EC"/>
    <w:rsid w:val="00523474"/>
    <w:rsid w:val="00523F95"/>
    <w:rsid w:val="00524D65"/>
    <w:rsid w:val="00525B16"/>
    <w:rsid w:val="005312B2"/>
    <w:rsid w:val="00532441"/>
    <w:rsid w:val="00533D04"/>
    <w:rsid w:val="00534804"/>
    <w:rsid w:val="00534BDF"/>
    <w:rsid w:val="005354EA"/>
    <w:rsid w:val="0053585F"/>
    <w:rsid w:val="00535EC4"/>
    <w:rsid w:val="00535ED9"/>
    <w:rsid w:val="0053692B"/>
    <w:rsid w:val="00541853"/>
    <w:rsid w:val="00543BDA"/>
    <w:rsid w:val="005441CC"/>
    <w:rsid w:val="00546CE2"/>
    <w:rsid w:val="005479DA"/>
    <w:rsid w:val="00547BCC"/>
    <w:rsid w:val="0055013B"/>
    <w:rsid w:val="00551F6F"/>
    <w:rsid w:val="00555044"/>
    <w:rsid w:val="00561475"/>
    <w:rsid w:val="00562308"/>
    <w:rsid w:val="0056487B"/>
    <w:rsid w:val="00564FB9"/>
    <w:rsid w:val="0056769C"/>
    <w:rsid w:val="00573D9E"/>
    <w:rsid w:val="005801E3"/>
    <w:rsid w:val="00581802"/>
    <w:rsid w:val="005836A8"/>
    <w:rsid w:val="0058409C"/>
    <w:rsid w:val="00584262"/>
    <w:rsid w:val="005846DB"/>
    <w:rsid w:val="00586630"/>
    <w:rsid w:val="00587ADD"/>
    <w:rsid w:val="00593A49"/>
    <w:rsid w:val="00596160"/>
    <w:rsid w:val="005966E2"/>
    <w:rsid w:val="00597007"/>
    <w:rsid w:val="005A0966"/>
    <w:rsid w:val="005A0B3C"/>
    <w:rsid w:val="005A11B7"/>
    <w:rsid w:val="005A2151"/>
    <w:rsid w:val="005A260B"/>
    <w:rsid w:val="005A4A1B"/>
    <w:rsid w:val="005A5F90"/>
    <w:rsid w:val="005A620C"/>
    <w:rsid w:val="005A7830"/>
    <w:rsid w:val="005A7FCE"/>
    <w:rsid w:val="005B0F3F"/>
    <w:rsid w:val="005B191C"/>
    <w:rsid w:val="005B4903"/>
    <w:rsid w:val="005B51CE"/>
    <w:rsid w:val="005B52AA"/>
    <w:rsid w:val="005B5885"/>
    <w:rsid w:val="005B5CD7"/>
    <w:rsid w:val="005B6CF6"/>
    <w:rsid w:val="005B7422"/>
    <w:rsid w:val="005C29B8"/>
    <w:rsid w:val="005C30CA"/>
    <w:rsid w:val="005C3C2B"/>
    <w:rsid w:val="005C5F21"/>
    <w:rsid w:val="005C6FFB"/>
    <w:rsid w:val="005C7156"/>
    <w:rsid w:val="005D0C75"/>
    <w:rsid w:val="005D4171"/>
    <w:rsid w:val="005D65E3"/>
    <w:rsid w:val="005D6A95"/>
    <w:rsid w:val="005D6B2C"/>
    <w:rsid w:val="005D6D9C"/>
    <w:rsid w:val="005E0C1D"/>
    <w:rsid w:val="005E2335"/>
    <w:rsid w:val="005E34CA"/>
    <w:rsid w:val="005E3C18"/>
    <w:rsid w:val="005E4250"/>
    <w:rsid w:val="005E6812"/>
    <w:rsid w:val="005E7881"/>
    <w:rsid w:val="005E78E0"/>
    <w:rsid w:val="005F0D9C"/>
    <w:rsid w:val="005F14C6"/>
    <w:rsid w:val="005F284E"/>
    <w:rsid w:val="005F3F28"/>
    <w:rsid w:val="005F6933"/>
    <w:rsid w:val="006015CE"/>
    <w:rsid w:val="0060448A"/>
    <w:rsid w:val="00604784"/>
    <w:rsid w:val="00606419"/>
    <w:rsid w:val="00607D29"/>
    <w:rsid w:val="006127D9"/>
    <w:rsid w:val="00612952"/>
    <w:rsid w:val="00614CC1"/>
    <w:rsid w:val="006150D3"/>
    <w:rsid w:val="00615A9D"/>
    <w:rsid w:val="00616713"/>
    <w:rsid w:val="00617387"/>
    <w:rsid w:val="00617982"/>
    <w:rsid w:val="006205D6"/>
    <w:rsid w:val="006252D8"/>
    <w:rsid w:val="006259BC"/>
    <w:rsid w:val="0062636B"/>
    <w:rsid w:val="00632182"/>
    <w:rsid w:val="00632AE0"/>
    <w:rsid w:val="00633C17"/>
    <w:rsid w:val="00634D9E"/>
    <w:rsid w:val="006351B4"/>
    <w:rsid w:val="00635C7D"/>
    <w:rsid w:val="00636E3E"/>
    <w:rsid w:val="006379F7"/>
    <w:rsid w:val="00637E4D"/>
    <w:rsid w:val="00640620"/>
    <w:rsid w:val="006418CE"/>
    <w:rsid w:val="00641A1F"/>
    <w:rsid w:val="006431E8"/>
    <w:rsid w:val="00645904"/>
    <w:rsid w:val="00651ACB"/>
    <w:rsid w:val="00651C47"/>
    <w:rsid w:val="00652AB2"/>
    <w:rsid w:val="00653FED"/>
    <w:rsid w:val="00654EC0"/>
    <w:rsid w:val="0065525B"/>
    <w:rsid w:val="00655D4F"/>
    <w:rsid w:val="00656D29"/>
    <w:rsid w:val="00657513"/>
    <w:rsid w:val="00663903"/>
    <w:rsid w:val="006640E5"/>
    <w:rsid w:val="006646F1"/>
    <w:rsid w:val="00664929"/>
    <w:rsid w:val="00664F62"/>
    <w:rsid w:val="006655E1"/>
    <w:rsid w:val="0066635E"/>
    <w:rsid w:val="00666D24"/>
    <w:rsid w:val="00670F53"/>
    <w:rsid w:val="00672060"/>
    <w:rsid w:val="00672BFD"/>
    <w:rsid w:val="00673212"/>
    <w:rsid w:val="006745FA"/>
    <w:rsid w:val="00674AC0"/>
    <w:rsid w:val="006752D1"/>
    <w:rsid w:val="0067556F"/>
    <w:rsid w:val="006770F4"/>
    <w:rsid w:val="00677A84"/>
    <w:rsid w:val="0068026D"/>
    <w:rsid w:val="00680A27"/>
    <w:rsid w:val="006816A4"/>
    <w:rsid w:val="0068198C"/>
    <w:rsid w:val="006819B8"/>
    <w:rsid w:val="006840A6"/>
    <w:rsid w:val="006850CD"/>
    <w:rsid w:val="00685AAB"/>
    <w:rsid w:val="00691BE4"/>
    <w:rsid w:val="0069203C"/>
    <w:rsid w:val="00693962"/>
    <w:rsid w:val="00694571"/>
    <w:rsid w:val="00695186"/>
    <w:rsid w:val="006A07AA"/>
    <w:rsid w:val="006A0CCC"/>
    <w:rsid w:val="006A151F"/>
    <w:rsid w:val="006A25E5"/>
    <w:rsid w:val="006A2B46"/>
    <w:rsid w:val="006A336D"/>
    <w:rsid w:val="006A37B9"/>
    <w:rsid w:val="006A75AF"/>
    <w:rsid w:val="006A7F72"/>
    <w:rsid w:val="006B018D"/>
    <w:rsid w:val="006B1126"/>
    <w:rsid w:val="006B22DE"/>
    <w:rsid w:val="006B25B0"/>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A7C"/>
    <w:rsid w:val="006E1843"/>
    <w:rsid w:val="006E2407"/>
    <w:rsid w:val="006F03A8"/>
    <w:rsid w:val="006F11D2"/>
    <w:rsid w:val="006F2ACA"/>
    <w:rsid w:val="006F2ADC"/>
    <w:rsid w:val="006F2BFE"/>
    <w:rsid w:val="006F2F47"/>
    <w:rsid w:val="006F31E9"/>
    <w:rsid w:val="006F6284"/>
    <w:rsid w:val="007002C5"/>
    <w:rsid w:val="007039FC"/>
    <w:rsid w:val="00704387"/>
    <w:rsid w:val="00704DF0"/>
    <w:rsid w:val="00707669"/>
    <w:rsid w:val="0071098E"/>
    <w:rsid w:val="00711CBA"/>
    <w:rsid w:val="00711FB5"/>
    <w:rsid w:val="00712A01"/>
    <w:rsid w:val="00714F58"/>
    <w:rsid w:val="00722FBF"/>
    <w:rsid w:val="00722FC2"/>
    <w:rsid w:val="0072422A"/>
    <w:rsid w:val="0072473C"/>
    <w:rsid w:val="00724E1B"/>
    <w:rsid w:val="00725949"/>
    <w:rsid w:val="00727FA2"/>
    <w:rsid w:val="007301FE"/>
    <w:rsid w:val="007322D9"/>
    <w:rsid w:val="00732BC0"/>
    <w:rsid w:val="00735C64"/>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DF1"/>
    <w:rsid w:val="00750EE1"/>
    <w:rsid w:val="00752B4D"/>
    <w:rsid w:val="0075305F"/>
    <w:rsid w:val="00754C41"/>
    <w:rsid w:val="00755402"/>
    <w:rsid w:val="00756B26"/>
    <w:rsid w:val="00756EDF"/>
    <w:rsid w:val="007600E3"/>
    <w:rsid w:val="0076187B"/>
    <w:rsid w:val="00765C43"/>
    <w:rsid w:val="00765EFB"/>
    <w:rsid w:val="007671CA"/>
    <w:rsid w:val="00767C61"/>
    <w:rsid w:val="0077008A"/>
    <w:rsid w:val="00770222"/>
    <w:rsid w:val="0077109A"/>
    <w:rsid w:val="007728BF"/>
    <w:rsid w:val="00773B12"/>
    <w:rsid w:val="00773C1F"/>
    <w:rsid w:val="00774DA4"/>
    <w:rsid w:val="00776599"/>
    <w:rsid w:val="0078114B"/>
    <w:rsid w:val="00781DD2"/>
    <w:rsid w:val="00783ECF"/>
    <w:rsid w:val="0078413A"/>
    <w:rsid w:val="007959E8"/>
    <w:rsid w:val="00795E9C"/>
    <w:rsid w:val="007973F3"/>
    <w:rsid w:val="0079771E"/>
    <w:rsid w:val="007A0521"/>
    <w:rsid w:val="007A2E12"/>
    <w:rsid w:val="007A3475"/>
    <w:rsid w:val="007A383F"/>
    <w:rsid w:val="007A41C8"/>
    <w:rsid w:val="007A54CE"/>
    <w:rsid w:val="007A5D3A"/>
    <w:rsid w:val="007A5D7E"/>
    <w:rsid w:val="007A6F9D"/>
    <w:rsid w:val="007A6FD9"/>
    <w:rsid w:val="007A7FFA"/>
    <w:rsid w:val="007B04EB"/>
    <w:rsid w:val="007B0D4F"/>
    <w:rsid w:val="007B1917"/>
    <w:rsid w:val="007B2FB2"/>
    <w:rsid w:val="007B5A3D"/>
    <w:rsid w:val="007B5B95"/>
    <w:rsid w:val="007B5EE1"/>
    <w:rsid w:val="007B6032"/>
    <w:rsid w:val="007B68EA"/>
    <w:rsid w:val="007B7453"/>
    <w:rsid w:val="007B7B00"/>
    <w:rsid w:val="007C27BF"/>
    <w:rsid w:val="007C2D89"/>
    <w:rsid w:val="007C4593"/>
    <w:rsid w:val="007C5309"/>
    <w:rsid w:val="007C6069"/>
    <w:rsid w:val="007D06C4"/>
    <w:rsid w:val="007D1352"/>
    <w:rsid w:val="007D2508"/>
    <w:rsid w:val="007D346A"/>
    <w:rsid w:val="007D44B7"/>
    <w:rsid w:val="007D6518"/>
    <w:rsid w:val="007D76BD"/>
    <w:rsid w:val="007E0BF1"/>
    <w:rsid w:val="007E4CC3"/>
    <w:rsid w:val="007F0ED8"/>
    <w:rsid w:val="007F0F63"/>
    <w:rsid w:val="007F3A0D"/>
    <w:rsid w:val="007F75CE"/>
    <w:rsid w:val="008013A4"/>
    <w:rsid w:val="008027CE"/>
    <w:rsid w:val="00802F42"/>
    <w:rsid w:val="00804383"/>
    <w:rsid w:val="00804BB7"/>
    <w:rsid w:val="00804D41"/>
    <w:rsid w:val="008053F7"/>
    <w:rsid w:val="00810257"/>
    <w:rsid w:val="008104F5"/>
    <w:rsid w:val="008105A9"/>
    <w:rsid w:val="00811072"/>
    <w:rsid w:val="00811369"/>
    <w:rsid w:val="0081249A"/>
    <w:rsid w:val="00815173"/>
    <w:rsid w:val="00815370"/>
    <w:rsid w:val="00815419"/>
    <w:rsid w:val="008163C8"/>
    <w:rsid w:val="008164A1"/>
    <w:rsid w:val="0081670E"/>
    <w:rsid w:val="00817325"/>
    <w:rsid w:val="008209E6"/>
    <w:rsid w:val="00821D19"/>
    <w:rsid w:val="00822908"/>
    <w:rsid w:val="0082308C"/>
    <w:rsid w:val="00823303"/>
    <w:rsid w:val="008233B2"/>
    <w:rsid w:val="00823A9F"/>
    <w:rsid w:val="00823C85"/>
    <w:rsid w:val="00825138"/>
    <w:rsid w:val="008269DD"/>
    <w:rsid w:val="00830621"/>
    <w:rsid w:val="0083348C"/>
    <w:rsid w:val="00834065"/>
    <w:rsid w:val="0083416D"/>
    <w:rsid w:val="008373D3"/>
    <w:rsid w:val="00840617"/>
    <w:rsid w:val="00840F84"/>
    <w:rsid w:val="00842A47"/>
    <w:rsid w:val="00843C13"/>
    <w:rsid w:val="00843DEF"/>
    <w:rsid w:val="008454F8"/>
    <w:rsid w:val="0085173A"/>
    <w:rsid w:val="008603CE"/>
    <w:rsid w:val="008620FC"/>
    <w:rsid w:val="008627A5"/>
    <w:rsid w:val="00863E05"/>
    <w:rsid w:val="008654D5"/>
    <w:rsid w:val="00865970"/>
    <w:rsid w:val="00865ACA"/>
    <w:rsid w:val="00865D28"/>
    <w:rsid w:val="00865F85"/>
    <w:rsid w:val="00867C10"/>
    <w:rsid w:val="00867DCB"/>
    <w:rsid w:val="00870439"/>
    <w:rsid w:val="00870DA1"/>
    <w:rsid w:val="00874492"/>
    <w:rsid w:val="00883F93"/>
    <w:rsid w:val="00884DB3"/>
    <w:rsid w:val="008852FD"/>
    <w:rsid w:val="00885A9D"/>
    <w:rsid w:val="008864F6"/>
    <w:rsid w:val="0089049D"/>
    <w:rsid w:val="008928C9"/>
    <w:rsid w:val="008930CB"/>
    <w:rsid w:val="008938DC"/>
    <w:rsid w:val="00893FD1"/>
    <w:rsid w:val="00894755"/>
    <w:rsid w:val="00894836"/>
    <w:rsid w:val="00895172"/>
    <w:rsid w:val="00895680"/>
    <w:rsid w:val="00896DFF"/>
    <w:rsid w:val="0089762C"/>
    <w:rsid w:val="008A173B"/>
    <w:rsid w:val="008A1893"/>
    <w:rsid w:val="008A5523"/>
    <w:rsid w:val="008A57E6"/>
    <w:rsid w:val="008A6F81"/>
    <w:rsid w:val="008A769A"/>
    <w:rsid w:val="008B0C9C"/>
    <w:rsid w:val="008B166D"/>
    <w:rsid w:val="008B17F4"/>
    <w:rsid w:val="008B3615"/>
    <w:rsid w:val="008B4AC4"/>
    <w:rsid w:val="008B50C8"/>
    <w:rsid w:val="008B5281"/>
    <w:rsid w:val="008B57E7"/>
    <w:rsid w:val="008B7E05"/>
    <w:rsid w:val="008C1797"/>
    <w:rsid w:val="008C219C"/>
    <w:rsid w:val="008C41ED"/>
    <w:rsid w:val="008C475E"/>
    <w:rsid w:val="008C542B"/>
    <w:rsid w:val="008C619A"/>
    <w:rsid w:val="008C6F87"/>
    <w:rsid w:val="008D0CE8"/>
    <w:rsid w:val="008D2D1D"/>
    <w:rsid w:val="008D3392"/>
    <w:rsid w:val="008D453D"/>
    <w:rsid w:val="008D5191"/>
    <w:rsid w:val="008D53AD"/>
    <w:rsid w:val="008D562B"/>
    <w:rsid w:val="008D5733"/>
    <w:rsid w:val="008D622B"/>
    <w:rsid w:val="008D666C"/>
    <w:rsid w:val="008D7B54"/>
    <w:rsid w:val="008E0C9D"/>
    <w:rsid w:val="008E1648"/>
    <w:rsid w:val="008E1B3E"/>
    <w:rsid w:val="008E2319"/>
    <w:rsid w:val="008E2C6A"/>
    <w:rsid w:val="008E4BB6"/>
    <w:rsid w:val="008E514F"/>
    <w:rsid w:val="008E5518"/>
    <w:rsid w:val="008E6698"/>
    <w:rsid w:val="008E6A84"/>
    <w:rsid w:val="008E7209"/>
    <w:rsid w:val="008F0CDC"/>
    <w:rsid w:val="008F17A3"/>
    <w:rsid w:val="008F19E1"/>
    <w:rsid w:val="008F1ED3"/>
    <w:rsid w:val="008F4C29"/>
    <w:rsid w:val="008F70BD"/>
    <w:rsid w:val="008F788F"/>
    <w:rsid w:val="008F7EA2"/>
    <w:rsid w:val="00900284"/>
    <w:rsid w:val="0090067B"/>
    <w:rsid w:val="00902290"/>
    <w:rsid w:val="00902722"/>
    <w:rsid w:val="009027BC"/>
    <w:rsid w:val="009062E6"/>
    <w:rsid w:val="00907958"/>
    <w:rsid w:val="00911BE5"/>
    <w:rsid w:val="00913CA9"/>
    <w:rsid w:val="009145AE"/>
    <w:rsid w:val="009146CE"/>
    <w:rsid w:val="00914CA7"/>
    <w:rsid w:val="0091587C"/>
    <w:rsid w:val="00915C3E"/>
    <w:rsid w:val="009161A8"/>
    <w:rsid w:val="00921BAA"/>
    <w:rsid w:val="009245AE"/>
    <w:rsid w:val="009245F5"/>
    <w:rsid w:val="009249EC"/>
    <w:rsid w:val="009273B3"/>
    <w:rsid w:val="009305B5"/>
    <w:rsid w:val="00934DC6"/>
    <w:rsid w:val="00937214"/>
    <w:rsid w:val="0093786A"/>
    <w:rsid w:val="009378DD"/>
    <w:rsid w:val="009429D5"/>
    <w:rsid w:val="00942BF1"/>
    <w:rsid w:val="00945180"/>
    <w:rsid w:val="00945428"/>
    <w:rsid w:val="0094607B"/>
    <w:rsid w:val="00953604"/>
    <w:rsid w:val="0095496B"/>
    <w:rsid w:val="00960F1E"/>
    <w:rsid w:val="009610DC"/>
    <w:rsid w:val="00961412"/>
    <w:rsid w:val="00961490"/>
    <w:rsid w:val="00962E88"/>
    <w:rsid w:val="0096381A"/>
    <w:rsid w:val="00965E04"/>
    <w:rsid w:val="0096623C"/>
    <w:rsid w:val="009674AD"/>
    <w:rsid w:val="00970CDC"/>
    <w:rsid w:val="00975727"/>
    <w:rsid w:val="00975F00"/>
    <w:rsid w:val="00977010"/>
    <w:rsid w:val="00977D02"/>
    <w:rsid w:val="00977FF9"/>
    <w:rsid w:val="009809BB"/>
    <w:rsid w:val="009816B1"/>
    <w:rsid w:val="0098364B"/>
    <w:rsid w:val="009908A3"/>
    <w:rsid w:val="009911AF"/>
    <w:rsid w:val="00991875"/>
    <w:rsid w:val="00991F92"/>
    <w:rsid w:val="00992985"/>
    <w:rsid w:val="00992DF8"/>
    <w:rsid w:val="00993889"/>
    <w:rsid w:val="00993944"/>
    <w:rsid w:val="0099551B"/>
    <w:rsid w:val="00996BD2"/>
    <w:rsid w:val="00997BF1"/>
    <w:rsid w:val="009A089C"/>
    <w:rsid w:val="009A0F4B"/>
    <w:rsid w:val="009A118E"/>
    <w:rsid w:val="009A21CD"/>
    <w:rsid w:val="009A278C"/>
    <w:rsid w:val="009A2BC2"/>
    <w:rsid w:val="009A42C1"/>
    <w:rsid w:val="009A5429"/>
    <w:rsid w:val="009A72AD"/>
    <w:rsid w:val="009B09E0"/>
    <w:rsid w:val="009B0BC5"/>
    <w:rsid w:val="009B1247"/>
    <w:rsid w:val="009B2683"/>
    <w:rsid w:val="009B525B"/>
    <w:rsid w:val="009B6029"/>
    <w:rsid w:val="009B6971"/>
    <w:rsid w:val="009C27F1"/>
    <w:rsid w:val="009C3152"/>
    <w:rsid w:val="009C3257"/>
    <w:rsid w:val="009C4CFA"/>
    <w:rsid w:val="009C4FB0"/>
    <w:rsid w:val="009C5070"/>
    <w:rsid w:val="009C50C5"/>
    <w:rsid w:val="009C7D5D"/>
    <w:rsid w:val="009D112C"/>
    <w:rsid w:val="009D1385"/>
    <w:rsid w:val="009D26E0"/>
    <w:rsid w:val="009D47FA"/>
    <w:rsid w:val="009D4C5B"/>
    <w:rsid w:val="009D50D2"/>
    <w:rsid w:val="009D6BCA"/>
    <w:rsid w:val="009E066D"/>
    <w:rsid w:val="009E0F62"/>
    <w:rsid w:val="009E4A58"/>
    <w:rsid w:val="009E5A2D"/>
    <w:rsid w:val="009E5AB2"/>
    <w:rsid w:val="009E5DD1"/>
    <w:rsid w:val="009E608F"/>
    <w:rsid w:val="009E6219"/>
    <w:rsid w:val="009F03B3"/>
    <w:rsid w:val="009F660C"/>
    <w:rsid w:val="009F6B8B"/>
    <w:rsid w:val="00A0096C"/>
    <w:rsid w:val="00A01757"/>
    <w:rsid w:val="00A028C0"/>
    <w:rsid w:val="00A02BAE"/>
    <w:rsid w:val="00A06A6B"/>
    <w:rsid w:val="00A07E47"/>
    <w:rsid w:val="00A10717"/>
    <w:rsid w:val="00A129D0"/>
    <w:rsid w:val="00A12C33"/>
    <w:rsid w:val="00A138BA"/>
    <w:rsid w:val="00A14C8E"/>
    <w:rsid w:val="00A153D9"/>
    <w:rsid w:val="00A15F09"/>
    <w:rsid w:val="00A169B6"/>
    <w:rsid w:val="00A21285"/>
    <w:rsid w:val="00A22715"/>
    <w:rsid w:val="00A2271D"/>
    <w:rsid w:val="00A237D5"/>
    <w:rsid w:val="00A30B51"/>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9A5"/>
    <w:rsid w:val="00A648CD"/>
    <w:rsid w:val="00A6537A"/>
    <w:rsid w:val="00A67701"/>
    <w:rsid w:val="00A67866"/>
    <w:rsid w:val="00A70B07"/>
    <w:rsid w:val="00A723F8"/>
    <w:rsid w:val="00A7607D"/>
    <w:rsid w:val="00A77CCB"/>
    <w:rsid w:val="00A83D8D"/>
    <w:rsid w:val="00A8446B"/>
    <w:rsid w:val="00A8473F"/>
    <w:rsid w:val="00A862D6"/>
    <w:rsid w:val="00A8715E"/>
    <w:rsid w:val="00A91AEB"/>
    <w:rsid w:val="00A9295B"/>
    <w:rsid w:val="00A93B09"/>
    <w:rsid w:val="00A952D7"/>
    <w:rsid w:val="00A963F7"/>
    <w:rsid w:val="00A969AE"/>
    <w:rsid w:val="00A96AD8"/>
    <w:rsid w:val="00AA052C"/>
    <w:rsid w:val="00AA1E45"/>
    <w:rsid w:val="00AA2092"/>
    <w:rsid w:val="00AA3FF8"/>
    <w:rsid w:val="00AA4286"/>
    <w:rsid w:val="00AA456B"/>
    <w:rsid w:val="00AA4DA1"/>
    <w:rsid w:val="00AA57F5"/>
    <w:rsid w:val="00AA672E"/>
    <w:rsid w:val="00AA6EC9"/>
    <w:rsid w:val="00AB52F5"/>
    <w:rsid w:val="00AB5AA4"/>
    <w:rsid w:val="00AB5D56"/>
    <w:rsid w:val="00AB6309"/>
    <w:rsid w:val="00AB6C5F"/>
    <w:rsid w:val="00AB6E40"/>
    <w:rsid w:val="00AB7129"/>
    <w:rsid w:val="00AC27A6"/>
    <w:rsid w:val="00AC30F7"/>
    <w:rsid w:val="00AC3A5A"/>
    <w:rsid w:val="00AC3E55"/>
    <w:rsid w:val="00AC4D95"/>
    <w:rsid w:val="00AC5DF4"/>
    <w:rsid w:val="00AC7230"/>
    <w:rsid w:val="00AD0AEF"/>
    <w:rsid w:val="00AD11B7"/>
    <w:rsid w:val="00AD1961"/>
    <w:rsid w:val="00AD1A94"/>
    <w:rsid w:val="00AD1C05"/>
    <w:rsid w:val="00AD1F4D"/>
    <w:rsid w:val="00AD4126"/>
    <w:rsid w:val="00AD421C"/>
    <w:rsid w:val="00AD44FA"/>
    <w:rsid w:val="00AD63DA"/>
    <w:rsid w:val="00AE070A"/>
    <w:rsid w:val="00AE101C"/>
    <w:rsid w:val="00AE1ABE"/>
    <w:rsid w:val="00AE29BB"/>
    <w:rsid w:val="00AE2A69"/>
    <w:rsid w:val="00AE376F"/>
    <w:rsid w:val="00AE37E5"/>
    <w:rsid w:val="00AE5EB4"/>
    <w:rsid w:val="00AE7196"/>
    <w:rsid w:val="00AE7B1F"/>
    <w:rsid w:val="00AF0C18"/>
    <w:rsid w:val="00AF47C5"/>
    <w:rsid w:val="00AF5398"/>
    <w:rsid w:val="00B049AF"/>
    <w:rsid w:val="00B06756"/>
    <w:rsid w:val="00B07242"/>
    <w:rsid w:val="00B10534"/>
    <w:rsid w:val="00B113DB"/>
    <w:rsid w:val="00B11D8A"/>
    <w:rsid w:val="00B12981"/>
    <w:rsid w:val="00B13049"/>
    <w:rsid w:val="00B147DD"/>
    <w:rsid w:val="00B156FD"/>
    <w:rsid w:val="00B16927"/>
    <w:rsid w:val="00B20293"/>
    <w:rsid w:val="00B20BE6"/>
    <w:rsid w:val="00B211F6"/>
    <w:rsid w:val="00B21F61"/>
    <w:rsid w:val="00B261F1"/>
    <w:rsid w:val="00B265BC"/>
    <w:rsid w:val="00B31FB1"/>
    <w:rsid w:val="00B33952"/>
    <w:rsid w:val="00B33C5E"/>
    <w:rsid w:val="00B342F4"/>
    <w:rsid w:val="00B34369"/>
    <w:rsid w:val="00B34DC2"/>
    <w:rsid w:val="00B356B1"/>
    <w:rsid w:val="00B366E4"/>
    <w:rsid w:val="00B378E5"/>
    <w:rsid w:val="00B40A4A"/>
    <w:rsid w:val="00B4346D"/>
    <w:rsid w:val="00B440F4"/>
    <w:rsid w:val="00B447A5"/>
    <w:rsid w:val="00B4654C"/>
    <w:rsid w:val="00B465A2"/>
    <w:rsid w:val="00B47293"/>
    <w:rsid w:val="00B47763"/>
    <w:rsid w:val="00B507AA"/>
    <w:rsid w:val="00B50ACF"/>
    <w:rsid w:val="00B50E50"/>
    <w:rsid w:val="00B52120"/>
    <w:rsid w:val="00B52A93"/>
    <w:rsid w:val="00B54ABC"/>
    <w:rsid w:val="00B550FA"/>
    <w:rsid w:val="00B56FBE"/>
    <w:rsid w:val="00B57748"/>
    <w:rsid w:val="00B60ACF"/>
    <w:rsid w:val="00B62840"/>
    <w:rsid w:val="00B62B58"/>
    <w:rsid w:val="00B65149"/>
    <w:rsid w:val="00B65849"/>
    <w:rsid w:val="00B66567"/>
    <w:rsid w:val="00B66F52"/>
    <w:rsid w:val="00B66FE5"/>
    <w:rsid w:val="00B72880"/>
    <w:rsid w:val="00B74E35"/>
    <w:rsid w:val="00B758BF"/>
    <w:rsid w:val="00B77EC8"/>
    <w:rsid w:val="00B827A6"/>
    <w:rsid w:val="00B831CE"/>
    <w:rsid w:val="00B8622C"/>
    <w:rsid w:val="00B86677"/>
    <w:rsid w:val="00B87131"/>
    <w:rsid w:val="00B91616"/>
    <w:rsid w:val="00B939B1"/>
    <w:rsid w:val="00B96D40"/>
    <w:rsid w:val="00B97386"/>
    <w:rsid w:val="00B97FA3"/>
    <w:rsid w:val="00BA263B"/>
    <w:rsid w:val="00BA4144"/>
    <w:rsid w:val="00BA42B2"/>
    <w:rsid w:val="00BA58D4"/>
    <w:rsid w:val="00BA5B9E"/>
    <w:rsid w:val="00BA7C9A"/>
    <w:rsid w:val="00BB1CFC"/>
    <w:rsid w:val="00BB5F8F"/>
    <w:rsid w:val="00BB657A"/>
    <w:rsid w:val="00BB7B79"/>
    <w:rsid w:val="00BC1255"/>
    <w:rsid w:val="00BC1A4E"/>
    <w:rsid w:val="00BC5DC7"/>
    <w:rsid w:val="00BC6B8B"/>
    <w:rsid w:val="00BC73D8"/>
    <w:rsid w:val="00BD29FB"/>
    <w:rsid w:val="00BD52D7"/>
    <w:rsid w:val="00BD5AD2"/>
    <w:rsid w:val="00BE03B5"/>
    <w:rsid w:val="00BE22F3"/>
    <w:rsid w:val="00BE2FD9"/>
    <w:rsid w:val="00BE316D"/>
    <w:rsid w:val="00BE368A"/>
    <w:rsid w:val="00BE5B52"/>
    <w:rsid w:val="00BE7B8D"/>
    <w:rsid w:val="00BF0993"/>
    <w:rsid w:val="00BF10A9"/>
    <w:rsid w:val="00BF1703"/>
    <w:rsid w:val="00BF231C"/>
    <w:rsid w:val="00BF3999"/>
    <w:rsid w:val="00BF51E5"/>
    <w:rsid w:val="00BF5FA8"/>
    <w:rsid w:val="00BF62E7"/>
    <w:rsid w:val="00BF74A6"/>
    <w:rsid w:val="00C011FD"/>
    <w:rsid w:val="00C013AD"/>
    <w:rsid w:val="00C04904"/>
    <w:rsid w:val="00C056B3"/>
    <w:rsid w:val="00C069D5"/>
    <w:rsid w:val="00C103E5"/>
    <w:rsid w:val="00C13319"/>
    <w:rsid w:val="00C13538"/>
    <w:rsid w:val="00C13EE9"/>
    <w:rsid w:val="00C14B4B"/>
    <w:rsid w:val="00C14D2D"/>
    <w:rsid w:val="00C15482"/>
    <w:rsid w:val="00C17327"/>
    <w:rsid w:val="00C214A7"/>
    <w:rsid w:val="00C21540"/>
    <w:rsid w:val="00C21906"/>
    <w:rsid w:val="00C21BFA"/>
    <w:rsid w:val="00C22719"/>
    <w:rsid w:val="00C231E6"/>
    <w:rsid w:val="00C24C8D"/>
    <w:rsid w:val="00C25FE2"/>
    <w:rsid w:val="00C26B53"/>
    <w:rsid w:val="00C279B2"/>
    <w:rsid w:val="00C27A11"/>
    <w:rsid w:val="00C33A67"/>
    <w:rsid w:val="00C33E50"/>
    <w:rsid w:val="00C34C20"/>
    <w:rsid w:val="00C35A3E"/>
    <w:rsid w:val="00C42130"/>
    <w:rsid w:val="00C423A4"/>
    <w:rsid w:val="00C423E3"/>
    <w:rsid w:val="00C44BF5"/>
    <w:rsid w:val="00C454AE"/>
    <w:rsid w:val="00C45D27"/>
    <w:rsid w:val="00C521D6"/>
    <w:rsid w:val="00C55232"/>
    <w:rsid w:val="00C553A4"/>
    <w:rsid w:val="00C55A06"/>
    <w:rsid w:val="00C55D03"/>
    <w:rsid w:val="00C601BC"/>
    <w:rsid w:val="00C6329F"/>
    <w:rsid w:val="00C63340"/>
    <w:rsid w:val="00C643F9"/>
    <w:rsid w:val="00C64E95"/>
    <w:rsid w:val="00C71372"/>
    <w:rsid w:val="00C72410"/>
    <w:rsid w:val="00C7287F"/>
    <w:rsid w:val="00C77D1F"/>
    <w:rsid w:val="00C80CB8"/>
    <w:rsid w:val="00C815C2"/>
    <w:rsid w:val="00C819F8"/>
    <w:rsid w:val="00C8248C"/>
    <w:rsid w:val="00C84E33"/>
    <w:rsid w:val="00C86D6F"/>
    <w:rsid w:val="00C905FC"/>
    <w:rsid w:val="00C92D03"/>
    <w:rsid w:val="00C9319C"/>
    <w:rsid w:val="00C9435D"/>
    <w:rsid w:val="00C94DF2"/>
    <w:rsid w:val="00C96149"/>
    <w:rsid w:val="00C96741"/>
    <w:rsid w:val="00C96FE9"/>
    <w:rsid w:val="00C970AF"/>
    <w:rsid w:val="00C97848"/>
    <w:rsid w:val="00C97F01"/>
    <w:rsid w:val="00CA2D1B"/>
    <w:rsid w:val="00CA375D"/>
    <w:rsid w:val="00CA5DA1"/>
    <w:rsid w:val="00CA662A"/>
    <w:rsid w:val="00CA7210"/>
    <w:rsid w:val="00CA7AFD"/>
    <w:rsid w:val="00CA7C3C"/>
    <w:rsid w:val="00CB0189"/>
    <w:rsid w:val="00CB0BA2"/>
    <w:rsid w:val="00CB1816"/>
    <w:rsid w:val="00CB1A42"/>
    <w:rsid w:val="00CB1B0C"/>
    <w:rsid w:val="00CB2C0B"/>
    <w:rsid w:val="00CB517D"/>
    <w:rsid w:val="00CC038D"/>
    <w:rsid w:val="00CC08DB"/>
    <w:rsid w:val="00CC11DE"/>
    <w:rsid w:val="00CC39FF"/>
    <w:rsid w:val="00CC3C2F"/>
    <w:rsid w:val="00CC3D17"/>
    <w:rsid w:val="00CC4AC8"/>
    <w:rsid w:val="00CC5233"/>
    <w:rsid w:val="00CC5DE6"/>
    <w:rsid w:val="00CC6069"/>
    <w:rsid w:val="00CC6E4E"/>
    <w:rsid w:val="00CC6FE8"/>
    <w:rsid w:val="00CC7202"/>
    <w:rsid w:val="00CD2808"/>
    <w:rsid w:val="00CD28BF"/>
    <w:rsid w:val="00CD4092"/>
    <w:rsid w:val="00CD4A20"/>
    <w:rsid w:val="00CD50A1"/>
    <w:rsid w:val="00CD519E"/>
    <w:rsid w:val="00CE0C4F"/>
    <w:rsid w:val="00CE2BAA"/>
    <w:rsid w:val="00CE30EA"/>
    <w:rsid w:val="00CF048A"/>
    <w:rsid w:val="00CF155A"/>
    <w:rsid w:val="00CF2947"/>
    <w:rsid w:val="00CF4452"/>
    <w:rsid w:val="00CF686F"/>
    <w:rsid w:val="00CF6E60"/>
    <w:rsid w:val="00CF7511"/>
    <w:rsid w:val="00CF7A23"/>
    <w:rsid w:val="00CF7BCA"/>
    <w:rsid w:val="00D008FD"/>
    <w:rsid w:val="00D00C98"/>
    <w:rsid w:val="00D0321C"/>
    <w:rsid w:val="00D035EC"/>
    <w:rsid w:val="00D0668B"/>
    <w:rsid w:val="00D06AB1"/>
    <w:rsid w:val="00D06FC1"/>
    <w:rsid w:val="00D072ED"/>
    <w:rsid w:val="00D07A16"/>
    <w:rsid w:val="00D1067E"/>
    <w:rsid w:val="00D10F50"/>
    <w:rsid w:val="00D11272"/>
    <w:rsid w:val="00D126F5"/>
    <w:rsid w:val="00D13B0F"/>
    <w:rsid w:val="00D13D00"/>
    <w:rsid w:val="00D1489E"/>
    <w:rsid w:val="00D14D69"/>
    <w:rsid w:val="00D16513"/>
    <w:rsid w:val="00D20737"/>
    <w:rsid w:val="00D2179E"/>
    <w:rsid w:val="00D21E81"/>
    <w:rsid w:val="00D220D8"/>
    <w:rsid w:val="00D223DE"/>
    <w:rsid w:val="00D25E37"/>
    <w:rsid w:val="00D2661A"/>
    <w:rsid w:val="00D26E1C"/>
    <w:rsid w:val="00D27582"/>
    <w:rsid w:val="00D27EC4"/>
    <w:rsid w:val="00D321B4"/>
    <w:rsid w:val="00D32719"/>
    <w:rsid w:val="00D33333"/>
    <w:rsid w:val="00D352A2"/>
    <w:rsid w:val="00D4162B"/>
    <w:rsid w:val="00D4243F"/>
    <w:rsid w:val="00D4514F"/>
    <w:rsid w:val="00D451E2"/>
    <w:rsid w:val="00D45E89"/>
    <w:rsid w:val="00D45E8D"/>
    <w:rsid w:val="00D466AE"/>
    <w:rsid w:val="00D4734F"/>
    <w:rsid w:val="00D51BD7"/>
    <w:rsid w:val="00D51BF3"/>
    <w:rsid w:val="00D56CF2"/>
    <w:rsid w:val="00D629DB"/>
    <w:rsid w:val="00D640C1"/>
    <w:rsid w:val="00D6663E"/>
    <w:rsid w:val="00D66846"/>
    <w:rsid w:val="00D675FB"/>
    <w:rsid w:val="00D71F25"/>
    <w:rsid w:val="00D72A9C"/>
    <w:rsid w:val="00D74A89"/>
    <w:rsid w:val="00D77031"/>
    <w:rsid w:val="00D82EDF"/>
    <w:rsid w:val="00D842B8"/>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2D45"/>
    <w:rsid w:val="00DA38D3"/>
    <w:rsid w:val="00DA3932"/>
    <w:rsid w:val="00DA3AFC"/>
    <w:rsid w:val="00DA64F8"/>
    <w:rsid w:val="00DA6C15"/>
    <w:rsid w:val="00DB0258"/>
    <w:rsid w:val="00DB20E1"/>
    <w:rsid w:val="00DB38EE"/>
    <w:rsid w:val="00DB498B"/>
    <w:rsid w:val="00DB55E4"/>
    <w:rsid w:val="00DB5792"/>
    <w:rsid w:val="00DB66CA"/>
    <w:rsid w:val="00DB6BCA"/>
    <w:rsid w:val="00DB6F54"/>
    <w:rsid w:val="00DB73F7"/>
    <w:rsid w:val="00DC0321"/>
    <w:rsid w:val="00DC3067"/>
    <w:rsid w:val="00DC370B"/>
    <w:rsid w:val="00DC47F7"/>
    <w:rsid w:val="00DC5B90"/>
    <w:rsid w:val="00DD00FF"/>
    <w:rsid w:val="00DD0619"/>
    <w:rsid w:val="00DD07FB"/>
    <w:rsid w:val="00DD1D8B"/>
    <w:rsid w:val="00DD25C6"/>
    <w:rsid w:val="00DD3238"/>
    <w:rsid w:val="00DD41B8"/>
    <w:rsid w:val="00DD4FE5"/>
    <w:rsid w:val="00DD54B0"/>
    <w:rsid w:val="00DD57EE"/>
    <w:rsid w:val="00DD6BCC"/>
    <w:rsid w:val="00DE0A4B"/>
    <w:rsid w:val="00DE2410"/>
    <w:rsid w:val="00DE2939"/>
    <w:rsid w:val="00DE484B"/>
    <w:rsid w:val="00DE6E81"/>
    <w:rsid w:val="00DE703F"/>
    <w:rsid w:val="00DE7595"/>
    <w:rsid w:val="00DF1961"/>
    <w:rsid w:val="00DF44DE"/>
    <w:rsid w:val="00DF66B8"/>
    <w:rsid w:val="00E01138"/>
    <w:rsid w:val="00E02DFB"/>
    <w:rsid w:val="00E030F9"/>
    <w:rsid w:val="00E0311A"/>
    <w:rsid w:val="00E03138"/>
    <w:rsid w:val="00E05BB8"/>
    <w:rsid w:val="00E06404"/>
    <w:rsid w:val="00E07C1D"/>
    <w:rsid w:val="00E11A85"/>
    <w:rsid w:val="00E12495"/>
    <w:rsid w:val="00E15A44"/>
    <w:rsid w:val="00E15CCD"/>
    <w:rsid w:val="00E177CF"/>
    <w:rsid w:val="00E2010A"/>
    <w:rsid w:val="00E202EF"/>
    <w:rsid w:val="00E210B5"/>
    <w:rsid w:val="00E223EE"/>
    <w:rsid w:val="00E22944"/>
    <w:rsid w:val="00E22DA9"/>
    <w:rsid w:val="00E2552F"/>
    <w:rsid w:val="00E3137A"/>
    <w:rsid w:val="00E32CCF"/>
    <w:rsid w:val="00E33B1B"/>
    <w:rsid w:val="00E34A98"/>
    <w:rsid w:val="00E355B8"/>
    <w:rsid w:val="00E35D1E"/>
    <w:rsid w:val="00E364F9"/>
    <w:rsid w:val="00E365FA"/>
    <w:rsid w:val="00E36789"/>
    <w:rsid w:val="00E416D9"/>
    <w:rsid w:val="00E44A83"/>
    <w:rsid w:val="00E502C1"/>
    <w:rsid w:val="00E502DD"/>
    <w:rsid w:val="00E50D3A"/>
    <w:rsid w:val="00E50EC3"/>
    <w:rsid w:val="00E51387"/>
    <w:rsid w:val="00E51E68"/>
    <w:rsid w:val="00E52EFD"/>
    <w:rsid w:val="00E5307D"/>
    <w:rsid w:val="00E53D3C"/>
    <w:rsid w:val="00E5408A"/>
    <w:rsid w:val="00E54D08"/>
    <w:rsid w:val="00E56800"/>
    <w:rsid w:val="00E60C63"/>
    <w:rsid w:val="00E62FF9"/>
    <w:rsid w:val="00E635D6"/>
    <w:rsid w:val="00E639BC"/>
    <w:rsid w:val="00E66171"/>
    <w:rsid w:val="00E664CC"/>
    <w:rsid w:val="00E70388"/>
    <w:rsid w:val="00E70F92"/>
    <w:rsid w:val="00E715E3"/>
    <w:rsid w:val="00E726C9"/>
    <w:rsid w:val="00E7292D"/>
    <w:rsid w:val="00E74313"/>
    <w:rsid w:val="00E74C54"/>
    <w:rsid w:val="00E751CE"/>
    <w:rsid w:val="00E77A03"/>
    <w:rsid w:val="00E77D5C"/>
    <w:rsid w:val="00E822E8"/>
    <w:rsid w:val="00E82554"/>
    <w:rsid w:val="00E82606"/>
    <w:rsid w:val="00E831C1"/>
    <w:rsid w:val="00E8446A"/>
    <w:rsid w:val="00E846C8"/>
    <w:rsid w:val="00E84957"/>
    <w:rsid w:val="00E84A55"/>
    <w:rsid w:val="00E85BFF"/>
    <w:rsid w:val="00E87A4B"/>
    <w:rsid w:val="00E90391"/>
    <w:rsid w:val="00E906C2"/>
    <w:rsid w:val="00E9311F"/>
    <w:rsid w:val="00E934D1"/>
    <w:rsid w:val="00E94AF0"/>
    <w:rsid w:val="00E95D13"/>
    <w:rsid w:val="00E95DD3"/>
    <w:rsid w:val="00E96537"/>
    <w:rsid w:val="00E969D5"/>
    <w:rsid w:val="00EA018A"/>
    <w:rsid w:val="00EA01D7"/>
    <w:rsid w:val="00EA58D1"/>
    <w:rsid w:val="00EA61BC"/>
    <w:rsid w:val="00EA681A"/>
    <w:rsid w:val="00EA735B"/>
    <w:rsid w:val="00EB1E69"/>
    <w:rsid w:val="00EB2086"/>
    <w:rsid w:val="00EB31ED"/>
    <w:rsid w:val="00EB364F"/>
    <w:rsid w:val="00EB4E4B"/>
    <w:rsid w:val="00EB5EDF"/>
    <w:rsid w:val="00EB60FE"/>
    <w:rsid w:val="00EB74DB"/>
    <w:rsid w:val="00EC273B"/>
    <w:rsid w:val="00EC4426"/>
    <w:rsid w:val="00EC5359"/>
    <w:rsid w:val="00EC562A"/>
    <w:rsid w:val="00ED067A"/>
    <w:rsid w:val="00ED2764"/>
    <w:rsid w:val="00ED2B50"/>
    <w:rsid w:val="00ED7444"/>
    <w:rsid w:val="00EE0350"/>
    <w:rsid w:val="00EE0719"/>
    <w:rsid w:val="00EE0E80"/>
    <w:rsid w:val="00EE4F42"/>
    <w:rsid w:val="00EE613F"/>
    <w:rsid w:val="00EE7295"/>
    <w:rsid w:val="00EE7869"/>
    <w:rsid w:val="00EF054A"/>
    <w:rsid w:val="00EF3235"/>
    <w:rsid w:val="00EF4A1D"/>
    <w:rsid w:val="00EF7E72"/>
    <w:rsid w:val="00F0501C"/>
    <w:rsid w:val="00F0565F"/>
    <w:rsid w:val="00F06D37"/>
    <w:rsid w:val="00F07B9D"/>
    <w:rsid w:val="00F11586"/>
    <w:rsid w:val="00F1183B"/>
    <w:rsid w:val="00F11C9F"/>
    <w:rsid w:val="00F12263"/>
    <w:rsid w:val="00F1409D"/>
    <w:rsid w:val="00F14214"/>
    <w:rsid w:val="00F157A9"/>
    <w:rsid w:val="00F16F00"/>
    <w:rsid w:val="00F20942"/>
    <w:rsid w:val="00F20E76"/>
    <w:rsid w:val="00F25BB6"/>
    <w:rsid w:val="00F26B7E"/>
    <w:rsid w:val="00F27A3B"/>
    <w:rsid w:val="00F32780"/>
    <w:rsid w:val="00F33817"/>
    <w:rsid w:val="00F33A66"/>
    <w:rsid w:val="00F3584E"/>
    <w:rsid w:val="00F358F5"/>
    <w:rsid w:val="00F36EAE"/>
    <w:rsid w:val="00F4008F"/>
    <w:rsid w:val="00F40854"/>
    <w:rsid w:val="00F420D5"/>
    <w:rsid w:val="00F451EA"/>
    <w:rsid w:val="00F45447"/>
    <w:rsid w:val="00F456C6"/>
    <w:rsid w:val="00F4577B"/>
    <w:rsid w:val="00F46496"/>
    <w:rsid w:val="00F474D0"/>
    <w:rsid w:val="00F47FBC"/>
    <w:rsid w:val="00F50179"/>
    <w:rsid w:val="00F515EE"/>
    <w:rsid w:val="00F53B99"/>
    <w:rsid w:val="00F54DA5"/>
    <w:rsid w:val="00F56511"/>
    <w:rsid w:val="00F6194E"/>
    <w:rsid w:val="00F623AC"/>
    <w:rsid w:val="00F6412A"/>
    <w:rsid w:val="00F65893"/>
    <w:rsid w:val="00F66A4A"/>
    <w:rsid w:val="00F71E22"/>
    <w:rsid w:val="00F72142"/>
    <w:rsid w:val="00F72AE7"/>
    <w:rsid w:val="00F748AB"/>
    <w:rsid w:val="00F7701B"/>
    <w:rsid w:val="00F833BA"/>
    <w:rsid w:val="00F84FD0"/>
    <w:rsid w:val="00F859A8"/>
    <w:rsid w:val="00F86D87"/>
    <w:rsid w:val="00F9108B"/>
    <w:rsid w:val="00F91349"/>
    <w:rsid w:val="00F92788"/>
    <w:rsid w:val="00F93A8A"/>
    <w:rsid w:val="00F95248"/>
    <w:rsid w:val="00F956A9"/>
    <w:rsid w:val="00F963ED"/>
    <w:rsid w:val="00F966CF"/>
    <w:rsid w:val="00F96CAE"/>
    <w:rsid w:val="00F97C99"/>
    <w:rsid w:val="00FA265D"/>
    <w:rsid w:val="00FA662D"/>
    <w:rsid w:val="00FA73B1"/>
    <w:rsid w:val="00FB0CB9"/>
    <w:rsid w:val="00FB231D"/>
    <w:rsid w:val="00FB45F1"/>
    <w:rsid w:val="00FB4A72"/>
    <w:rsid w:val="00FB54E8"/>
    <w:rsid w:val="00FB5AE3"/>
    <w:rsid w:val="00FB6394"/>
    <w:rsid w:val="00FB6A14"/>
    <w:rsid w:val="00FB6E3B"/>
    <w:rsid w:val="00FB7054"/>
    <w:rsid w:val="00FC17B7"/>
    <w:rsid w:val="00FC23B1"/>
    <w:rsid w:val="00FC2CB7"/>
    <w:rsid w:val="00FC4090"/>
    <w:rsid w:val="00FC55B4"/>
    <w:rsid w:val="00FC7D78"/>
    <w:rsid w:val="00FD00E6"/>
    <w:rsid w:val="00FD09A1"/>
    <w:rsid w:val="00FD13C2"/>
    <w:rsid w:val="00FD1DA1"/>
    <w:rsid w:val="00FD2A7C"/>
    <w:rsid w:val="00FD59EB"/>
    <w:rsid w:val="00FD7299"/>
    <w:rsid w:val="00FE19E4"/>
    <w:rsid w:val="00FE1FBE"/>
    <w:rsid w:val="00FE3901"/>
    <w:rsid w:val="00FE39D3"/>
    <w:rsid w:val="00FE4BCE"/>
    <w:rsid w:val="00FE54AE"/>
    <w:rsid w:val="00FE576A"/>
    <w:rsid w:val="00FE6CB2"/>
    <w:rsid w:val="00FE7744"/>
    <w:rsid w:val="00FE7E79"/>
    <w:rsid w:val="00FE7FAC"/>
    <w:rsid w:val="00FF300A"/>
    <w:rsid w:val="00FF3B98"/>
    <w:rsid w:val="00FF3E7D"/>
    <w:rsid w:val="00FF5B99"/>
    <w:rsid w:val="00FF730C"/>
    <w:rsid w:val="00FF73F4"/>
    <w:rsid w:val="00FF7CE4"/>
    <w:rsid w:val="00FF7E39"/>
    <w:rsid w:val="0A6B72C4"/>
    <w:rsid w:val="0DF66631"/>
    <w:rsid w:val="1E413651"/>
    <w:rsid w:val="36FE5F35"/>
    <w:rsid w:val="3C5F2F0D"/>
    <w:rsid w:val="3ED3570E"/>
    <w:rsid w:val="4320616E"/>
    <w:rsid w:val="43F50048"/>
    <w:rsid w:val="4F017A94"/>
    <w:rsid w:val="50F706A7"/>
    <w:rsid w:val="5236434A"/>
    <w:rsid w:val="58184417"/>
    <w:rsid w:val="64012F92"/>
    <w:rsid w:val="692E1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tabs>
        <w:tab w:val="left" w:pos="851"/>
        <w:tab w:val="clear" w:pos="852"/>
      </w:tabs>
      <w:ind w:left="851"/>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semiHidden/>
    <w:qFormat/>
    <w:uiPriority w:val="99"/>
    <w:rPr>
      <w:kern w:val="2"/>
      <w:sz w:val="21"/>
      <w:szCs w:val="21"/>
    </w:rPr>
  </w:style>
  <w:style w:type="character" w:customStyle="1" w:styleId="234">
    <w:name w:val="批注主题 字符"/>
    <w:basedOn w:val="233"/>
    <w:link w:val="27"/>
    <w:semiHidden/>
    <w:qFormat/>
    <w:uiPriority w:val="99"/>
    <w:rPr>
      <w:b/>
      <w:bCs/>
      <w:kern w:val="2"/>
      <w:sz w:val="21"/>
      <w:szCs w:val="21"/>
    </w:rPr>
  </w:style>
  <w:style w:type="paragraph" w:customStyle="1" w:styleId="235">
    <w:name w:val="修订1"/>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4D4D58822A4F6385E8B32AF3970681"/>
        <w:style w:val=""/>
        <w:category>
          <w:name w:val="常规"/>
          <w:gallery w:val="placeholder"/>
        </w:category>
        <w:types>
          <w:type w:val="bbPlcHdr"/>
        </w:types>
        <w:behaviors>
          <w:behavior w:val="content"/>
        </w:behaviors>
        <w:description w:val=""/>
        <w:guid w:val="{B36A4BA2-B09A-4ADB-B056-FCB85F7F94BC}"/>
      </w:docPartPr>
      <w:docPartBody>
        <w:p w14:paraId="55BD91A7">
          <w:pPr>
            <w:pStyle w:val="5"/>
          </w:pPr>
          <w:r>
            <w:rPr>
              <w:rStyle w:val="4"/>
              <w:rFonts w:hint="eastAsia"/>
            </w:rPr>
            <w:t>单击或点击此处输入文字。</w:t>
          </w:r>
        </w:p>
      </w:docPartBody>
    </w:docPart>
    <w:docPart>
      <w:docPartPr>
        <w:name w:val="0D5BA53F9E1649629A9965C55DD5FE9E"/>
        <w:style w:val=""/>
        <w:category>
          <w:name w:val="常规"/>
          <w:gallery w:val="placeholder"/>
        </w:category>
        <w:types>
          <w:type w:val="bbPlcHdr"/>
        </w:types>
        <w:behaviors>
          <w:behavior w:val="content"/>
        </w:behaviors>
        <w:description w:val=""/>
        <w:guid w:val="{9F86AC26-69F1-4208-A50E-E2C6930C2983}"/>
      </w:docPartPr>
      <w:docPartBody>
        <w:p w14:paraId="38FE1F9D">
          <w:pPr>
            <w:pStyle w:val="6"/>
          </w:pPr>
          <w:r>
            <w:rPr>
              <w:rStyle w:val="4"/>
              <w:rFonts w:hint="eastAsia"/>
            </w:rPr>
            <w:t>选择一项。</w:t>
          </w:r>
        </w:p>
      </w:docPartBody>
    </w:docPart>
    <w:docPart>
      <w:docPartPr>
        <w:name w:val="39CAE8EC615F4A42A71030CEFF351454"/>
        <w:style w:val=""/>
        <w:category>
          <w:name w:val="常规"/>
          <w:gallery w:val="placeholder"/>
        </w:category>
        <w:types>
          <w:type w:val="bbPlcHdr"/>
        </w:types>
        <w:behaviors>
          <w:behavior w:val="content"/>
        </w:behaviors>
        <w:description w:val=""/>
        <w:guid w:val="{2F0F6516-D5CA-4439-9D12-EECBB8690B4B}"/>
      </w:docPartPr>
      <w:docPartBody>
        <w:p w14:paraId="123F4B5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0C8"/>
    <w:rsid w:val="000A3078"/>
    <w:rsid w:val="00186294"/>
    <w:rsid w:val="00296EF7"/>
    <w:rsid w:val="003B7922"/>
    <w:rsid w:val="003D6D69"/>
    <w:rsid w:val="00441848"/>
    <w:rsid w:val="004C5672"/>
    <w:rsid w:val="004E2A05"/>
    <w:rsid w:val="00505CD7"/>
    <w:rsid w:val="00536C96"/>
    <w:rsid w:val="00551806"/>
    <w:rsid w:val="0059767F"/>
    <w:rsid w:val="005B6060"/>
    <w:rsid w:val="005E1428"/>
    <w:rsid w:val="005E7CC3"/>
    <w:rsid w:val="00635D1A"/>
    <w:rsid w:val="00636954"/>
    <w:rsid w:val="006B3BC7"/>
    <w:rsid w:val="00754391"/>
    <w:rsid w:val="00780346"/>
    <w:rsid w:val="0078166B"/>
    <w:rsid w:val="007B4621"/>
    <w:rsid w:val="00862BE2"/>
    <w:rsid w:val="008852FD"/>
    <w:rsid w:val="008C70C8"/>
    <w:rsid w:val="008F64CF"/>
    <w:rsid w:val="0092173D"/>
    <w:rsid w:val="00922CDC"/>
    <w:rsid w:val="00951514"/>
    <w:rsid w:val="009E2315"/>
    <w:rsid w:val="00A44069"/>
    <w:rsid w:val="00AF77A0"/>
    <w:rsid w:val="00B12B62"/>
    <w:rsid w:val="00B17EB9"/>
    <w:rsid w:val="00BE368A"/>
    <w:rsid w:val="00BF3571"/>
    <w:rsid w:val="00C0157D"/>
    <w:rsid w:val="00CE1505"/>
    <w:rsid w:val="00D52AE2"/>
    <w:rsid w:val="00E355B8"/>
    <w:rsid w:val="00E50714"/>
    <w:rsid w:val="00EC741A"/>
    <w:rsid w:val="00ED3521"/>
    <w:rsid w:val="00F66EF8"/>
    <w:rsid w:val="00F77563"/>
    <w:rsid w:val="00F861A3"/>
    <w:rsid w:val="00F95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4D4D58822A4F6385E8B32AF397068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D5BA53F9E1649629A9965C55DD5FE9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9CAE8EC615F4A42A71030CEFF35145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EA57A1-0C56-47E2-8690-DBAE65748FB9}">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12</Pages>
  <Words>5799</Words>
  <Characters>6491</Characters>
  <Lines>50</Lines>
  <Paragraphs>14</Paragraphs>
  <TotalTime>92</TotalTime>
  <ScaleCrop>false</ScaleCrop>
  <LinksUpToDate>false</LinksUpToDate>
  <CharactersWithSpaces>6615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2025-12-25T05:18:00Z</dcterms:created>
  <dc:creator>Administrator</dc:creator>
  <dc:description>&lt;config cover="true" show_menu="true" version="1.0.0" doctype="SDKXY"&gt;_x000d_
&lt;/config&gt;</dc:description>
  <cp:lastModifiedBy>清风揽月</cp:lastModifiedBy>
  <cp:lastPrinted>2025-11-28T08:33:00Z</cp:lastPrinted>
  <dcterms:modified xsi:type="dcterms:W3CDTF">2025-12-28T03:39:20Z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eyJoZGlkIjoiZDllMzdjNjgwNDU3NjBmZDQ4Y2EzNzcwNGVkZjc2ZWYiLCJ1c2VySWQiOiI1NjkwODQ0OTAifQ==</vt:lpwstr>
  </property>
  <property fmtid="{D5CDD505-2E9C-101B-9397-08002B2CF9AE}" pid="16" name="KSOProductBuildVer">
    <vt:lpwstr>2052-12.1.0.24034</vt:lpwstr>
  </property>
  <property fmtid="{D5CDD505-2E9C-101B-9397-08002B2CF9AE}" pid="17" name="ICV">
    <vt:lpwstr>88A83D7AD5BC475A8ACA4D7D832CD526_13</vt:lpwstr>
  </property>
</Properties>
</file>